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B2010" w14:textId="77777777" w:rsidR="00CB4DA1" w:rsidRDefault="00CB4DA1" w:rsidP="00CB4DA1">
      <w:pPr>
        <w:pStyle w:val="Titel"/>
        <w:spacing w:line="240" w:lineRule="auto"/>
        <w:jc w:val="left"/>
      </w:pPr>
      <w:bookmarkStart w:id="0" w:name="_5sh9tma8zw0x" w:colFirst="0" w:colLast="0"/>
      <w:bookmarkEnd w:id="0"/>
      <w:r>
        <w:t xml:space="preserve">Who gets to innovate? </w:t>
      </w:r>
      <w:r>
        <w:br/>
        <w:t>Phase-specific barriers to participation in a publicly funded journalism-innovation programme.</w:t>
      </w:r>
    </w:p>
    <w:p w14:paraId="7A49F441" w14:textId="77777777" w:rsidR="00CB4DA1" w:rsidRPr="002A5D9F" w:rsidRDefault="00CB4DA1" w:rsidP="00CB4DA1">
      <w:pPr>
        <w:rPr>
          <w:i/>
          <w:iCs/>
          <w:lang w:val="nl-BE"/>
        </w:rPr>
      </w:pPr>
      <w:r w:rsidRPr="002A5D9F">
        <w:rPr>
          <w:i/>
          <w:iCs/>
          <w:lang w:val="nl-BE"/>
        </w:rPr>
        <w:t xml:space="preserve">Pauljan Truyens, Giordano Zambelli, and Ike Picone </w:t>
      </w:r>
    </w:p>
    <w:p w14:paraId="022C57C8" w14:textId="77777777" w:rsidR="00CB4DA1" w:rsidRPr="002A5D9F" w:rsidRDefault="00CB4DA1" w:rsidP="00CB4DA1">
      <w:pPr>
        <w:rPr>
          <w:i/>
          <w:iCs/>
          <w:lang w:val="nl-BE"/>
        </w:rPr>
      </w:pPr>
      <w:r w:rsidRPr="002A5D9F">
        <w:rPr>
          <w:i/>
          <w:iCs/>
          <w:lang w:val="nl-BE"/>
        </w:rPr>
        <w:t>imec-SMIT, Vrije Universiteit Brussel</w:t>
      </w:r>
    </w:p>
    <w:p w14:paraId="7A303200" w14:textId="77777777" w:rsidR="00CB4DA1" w:rsidRDefault="00CB4DA1" w:rsidP="00CB4DA1">
      <w:pPr>
        <w:pStyle w:val="Kop1"/>
      </w:pPr>
      <w:bookmarkStart w:id="1" w:name="_t505md8vfpai" w:colFirst="0" w:colLast="0"/>
      <w:bookmarkEnd w:id="1"/>
      <w:commentRangeStart w:id="2"/>
      <w:r>
        <w:t>Abstract</w:t>
      </w:r>
      <w:commentRangeEnd w:id="2"/>
      <w:r>
        <w:rPr>
          <w:rStyle w:val="Verwijzingopmerking"/>
          <w:sz w:val="40"/>
          <w:szCs w:val="40"/>
        </w:rPr>
        <w:commentReference w:id="2"/>
      </w:r>
    </w:p>
    <w:p w14:paraId="25FB197F" w14:textId="77777777" w:rsidR="00CB4DA1" w:rsidRDefault="00CB4DA1" w:rsidP="00CB4DA1">
      <w:r>
        <w:t xml:space="preserve">News organisations are asked to innovate amid accelerating digital transformation, yet participation in funded innovation schemes remains uneven. This study examines barriers to participation in the Flemish Digital Transformation for the Media Sector programme, a €35m initiative intended to spur cross-sector collaboration and strengthen the news ecosystem. Drawing on boundary work and institutional theory, we investigate how newsroom norms and structures shape engagement alongside external conditions such as funding design and policy incentives. We conducted 40 expert interviews: 32 with actors in funded projects (R&amp;D managers, editors-in-chief from large and small outlets, technology partners) and 8 with sector stakeholders not participating (including representatives of journalism associations). Using a standardised protocol, transcripts were coded with and thematically analysed across four phases: application, implementation, output, and consolidation. Findings show persistent asymmetries: large organisations dominate consortia and awards by aligning calls with pre-existing strategies and dedicating staff to proposal work; smaller outlets face time, capacity, and risk constraints that push them to peripheral </w:t>
      </w:r>
      <w:r>
        <w:lastRenderedPageBreak/>
        <w:t>roles or exclusion. Programme logics favor short-term, trend-led deliverables over sustainable capability building, limiting sectoral resilience. We propose design principles (simplified applications, tiered funding, capacity-building and consolidation support) to broaden participation and make schemes more equitable and durable.</w:t>
      </w:r>
    </w:p>
    <w:p w14:paraId="2D0DF27B" w14:textId="77777777" w:rsidR="00CB4DA1" w:rsidRDefault="00CB4DA1" w:rsidP="00CB4DA1">
      <w:r>
        <w:rPr>
          <w:b/>
          <w:bCs/>
        </w:rPr>
        <w:t>Key words</w:t>
      </w:r>
      <w:r>
        <w:t>: journalism innovation; digital transformation; public funding; institutional theory; boundary work; media policy; participation inequality; barriers to participation; Belgium/Flanders.</w:t>
      </w:r>
    </w:p>
    <w:p w14:paraId="0B1C2E41" w14:textId="77777777" w:rsidR="00CB4DA1" w:rsidRDefault="00CB4DA1" w:rsidP="00CB4DA1">
      <w:pPr>
        <w:pStyle w:val="Kop1"/>
      </w:pPr>
      <w:bookmarkStart w:id="3" w:name="_95zqm6g5ljd4" w:colFirst="0" w:colLast="0"/>
      <w:bookmarkEnd w:id="3"/>
      <w:r>
        <w:t>Introduction</w:t>
      </w:r>
    </w:p>
    <w:p w14:paraId="532737B9" w14:textId="77777777" w:rsidR="00CB4DA1" w:rsidRDefault="00CB4DA1" w:rsidP="00CB4DA1">
      <w:r>
        <w:t>The media landscape has undergone significant digitalisation and technological transformation, compelling the news industry to continuously innovate (Steensen and Westlund, 2020). This happens in stark contrast to the rigid professional culture resistant to technological changes historically maintained by journalists (Singer, 2009; Ferrucci and Perreault, 2021). However, over the past two decades, the rise of the ‘Audience Turn’ has positioned innovation as a central discourse and practice within journalism, leading news organisations to explore various technological advancements (Costera Meijer, 2020, p. 2329).</w:t>
      </w:r>
    </w:p>
    <w:p w14:paraId="22919252" w14:textId="77777777" w:rsidR="00CB4DA1" w:rsidRDefault="00CB4DA1" w:rsidP="00CB4DA1">
      <w:pPr>
        <w:ind w:firstLine="720"/>
      </w:pPr>
      <w:r>
        <w:t xml:space="preserve">The COVID-19-pandemic exacerbated challenges for the news industry, prompting urgent financial support measures and elevating digital transformation on policy agendas. In response, several EU governments, including the regional government of Flanders in Belgium, revised support policies and established new funding avenues for the media sector (Henningsen and Krčál, 2024). The Flemish Government allocated €35 million to the Digital Transformation for the Media Sector </w:t>
      </w:r>
      <w:r>
        <w:lastRenderedPageBreak/>
        <w:t>programme, aiming to foster cross- and intersectoral collaboration, create a more equitable playing field, and enhance the resilience and diversity of the Flemish media landscape (Vlaanderen.be, 2021).</w:t>
      </w:r>
    </w:p>
    <w:p w14:paraId="45A70CA9" w14:textId="77777777" w:rsidR="00CB4DA1" w:rsidRDefault="00CB4DA1" w:rsidP="00CB4DA1">
      <w:pPr>
        <w:ind w:firstLine="720"/>
      </w:pPr>
      <w:r>
        <w:t>This study employs institutional theory (Hanitzsch, 2007) and boundary work (Carlson, 2016) to examine how organisational structures and cultural norms within newsrooms influence participation. Building upon this framework, we analyse both external factors (e.g., funding structures, policy incentives) and internal dynamics (e.g., organisational capacity, leadership support) that impact engagement in innovation initiatives.</w:t>
      </w:r>
    </w:p>
    <w:p w14:paraId="349D8411" w14:textId="77777777" w:rsidR="00CB4DA1" w:rsidRDefault="00CB4DA1" w:rsidP="00CB4DA1">
      <w:pPr>
        <w:ind w:firstLine="720"/>
      </w:pPr>
      <w:r>
        <w:t>This study addresses the following research questions: RQ1. What are the phase-specific barriers that news organisations face when participating in innovation programmes? These barriers are examined across four phases: application, project implementation, output generation, and consolidation. RQ2. How do these barriers differ between large and small news organisations within the Flemish context?</w:t>
      </w:r>
    </w:p>
    <w:p w14:paraId="19E03D65" w14:textId="77777777" w:rsidR="00CB4DA1" w:rsidRDefault="00CB4DA1" w:rsidP="00CB4DA1">
      <w:pPr>
        <w:ind w:firstLine="720"/>
      </w:pPr>
      <w:r>
        <w:t>We conducted 40 expert interviews to explore the perceptions of barriers to participation in innovation programmes, focusing on the Flemish Digital Transformation programme as a case study. Of these, 32 informants were directly involved in one or more projects and included R&amp;D-managers, editors-in-chief from both large and small news organisations, and commercial and public service media, and innovation coordinators from technology firms. The remaining 8 informants, not participating in the programme, represented key stakeholders in the Flemish news landscape, such as journalism associations.</w:t>
      </w:r>
    </w:p>
    <w:p w14:paraId="4AA00E87" w14:textId="77777777" w:rsidR="00CB4DA1" w:rsidRDefault="00CB4DA1" w:rsidP="00CB4DA1">
      <w:r>
        <w:lastRenderedPageBreak/>
        <w:t xml:space="preserve"> </w:t>
      </w:r>
      <w:r>
        <w:tab/>
        <w:t>Using a standardised yet flexible interview protocol, we probed into each phase of the projects. Transcripts were thematically analysed (Clarke and Braun, 2014) to identify recurring themes and patterns related to participation barriers.</w:t>
      </w:r>
    </w:p>
    <w:p w14:paraId="795A2BC7" w14:textId="77777777" w:rsidR="00CB4DA1" w:rsidRDefault="00CB4DA1" w:rsidP="00CB4DA1">
      <w:r>
        <w:tab/>
        <w:t>The Flemish region serves as an interesting media ecosystem due to its small-market dynamics, ownership concentration and policy feedback mechanisms (Donders et al., 2012; Humprecht et al., 2022). Making findings transferable to similar regions in the EU who also implemented funding programmes in response to the pandemic’s impact on news media (Henningsen and Krčál, 2024).</w:t>
      </w:r>
    </w:p>
    <w:p w14:paraId="134E7039" w14:textId="77777777" w:rsidR="00CB4DA1" w:rsidRDefault="00CB4DA1" w:rsidP="00CB4DA1">
      <w:pPr>
        <w:ind w:firstLine="720"/>
      </w:pPr>
      <w:r>
        <w:t>Findings reveal that while this Flemish programme aims to digitally transform the journalism sector through innovative projects and cross-sector collaboration, significant disparities exist in participation. Major news organisations disproportionally secure funding and dominate project leadership, whereas smaller news organisations struggle due to limited time and resources for the application process. Consequently, smaller entities are often relegated to minor roles or excluded from larger scale projects.</w:t>
      </w:r>
    </w:p>
    <w:p w14:paraId="43340928" w14:textId="77777777" w:rsidR="00CB4DA1" w:rsidRDefault="00CB4DA1" w:rsidP="00CB4DA1">
      <w:pPr>
        <w:ind w:firstLine="720"/>
      </w:pPr>
      <w:r>
        <w:t>Furthermore, the programme’s calls for proposals appear to align more closely with the strategic priorities of dominant media players, allowing these organisations to seamlessly integrate programme requirements with their existing initiatives. This alignment facilitates easier project setup and milestone achievement, reinforcing their advantageous position within the programme.</w:t>
      </w:r>
    </w:p>
    <w:p w14:paraId="3E502430" w14:textId="77777777" w:rsidR="00CB4DA1" w:rsidRDefault="00CB4DA1" w:rsidP="00CB4DA1">
      <w:pPr>
        <w:ind w:firstLine="720"/>
      </w:pPr>
      <w:r>
        <w:t xml:space="preserve">This study contributes to the discourse on sustainable innovation in journalism by highlighting the imbalance in phase-specific programme participation between large and small news organisations, and also commercial and public service media; consortia governance dynamics in small-market media systems; and design </w:t>
      </w:r>
      <w:r>
        <w:lastRenderedPageBreak/>
        <w:t xml:space="preserve">principles for publicly funded innovation. It underscores the vulnerability of smaller media entities in accessing public funding, which can exacerbate existing inequalities and hinder the diversification of the news landscape. Additionally, our findings challenge the sustainability of innovation initiatives that are highly sensitive to current technological trends and short-term policy incentives, such as those recently heavily reliant on AI components. </w:t>
      </w:r>
    </w:p>
    <w:p w14:paraId="23892B6B" w14:textId="77777777" w:rsidR="00CB4DA1" w:rsidRDefault="00CB4DA1" w:rsidP="00CB4DA1">
      <w:pPr>
        <w:ind w:firstLine="720"/>
      </w:pPr>
      <w:r>
        <w:t>By questioning the allocation of public funds toward short-term, hype-driven projects primarily benefiting major players, this research advocates for more inclusive funding schemes. To effectively reimagine journalism and bolster a resilient, pluriform media environment, it is essential to shift focus from "shiny" innovations (Posetti, 2018) to sustainable, long-term projects that support a diverse range of news organisations, especially those in need.</w:t>
      </w:r>
    </w:p>
    <w:p w14:paraId="60536383" w14:textId="77777777" w:rsidR="00CB4DA1" w:rsidRDefault="00CB4DA1" w:rsidP="00CB4DA1">
      <w:pPr>
        <w:pStyle w:val="Kop1"/>
      </w:pPr>
      <w:bookmarkStart w:id="4" w:name="_ygx1srtou544" w:colFirst="0" w:colLast="0"/>
      <w:bookmarkEnd w:id="4"/>
      <w:r>
        <w:t>Literature Review</w:t>
      </w:r>
    </w:p>
    <w:p w14:paraId="7A1D88E7" w14:textId="77777777" w:rsidR="00CB4DA1" w:rsidRDefault="00CB4DA1" w:rsidP="00CB4DA1">
      <w:pPr>
        <w:spacing w:before="240" w:after="240"/>
        <w:rPr>
          <w:sz w:val="32"/>
          <w:szCs w:val="32"/>
        </w:rPr>
      </w:pPr>
      <w:r>
        <w:rPr>
          <w:sz w:val="32"/>
          <w:szCs w:val="32"/>
        </w:rPr>
        <w:t>Innovation, front and centre in journalism</w:t>
      </w:r>
    </w:p>
    <w:p w14:paraId="5A1A10D5" w14:textId="77777777" w:rsidR="00CB4DA1" w:rsidRDefault="00CB4DA1" w:rsidP="00CB4DA1">
      <w:pPr>
        <w:spacing w:before="240" w:after="240"/>
      </w:pPr>
      <w:r>
        <w:t xml:space="preserve">Historically, metajournalistic discourse has emphasised “quality” as the defining criterion of good journalism. This discourse “could be mobilised as a strong and effective argument against unwelcome changes in journalism” (Costera Meijer, 2020, p. 2327), thus functioning as a form of boundary work (Carlson, 2016). Boundary work delineates what and who counts as journalism by accepting some actors, practices and norms as legitimate and casting others as threats to professional autonomy. In this quality-centred regime, both external and internal stakeholders were kept at </w:t>
      </w:r>
      <w:r>
        <w:lastRenderedPageBreak/>
        <w:t xml:space="preserve">arm’s length. For instance, audiences were allowed only limited opportunities to intervene in journalism, and then largely on journalism’s own terms (Batsell, 2015; Tandoc and Thomas, 2015). Likewise, a solid wall separated the newsroom from the marketing department, in order to protect editorial independence from commercial pressures (Drew and Thomas, 2018). </w:t>
      </w:r>
    </w:p>
    <w:p w14:paraId="3504B297" w14:textId="77777777" w:rsidR="00CB4DA1" w:rsidRDefault="00CB4DA1" w:rsidP="00CB4DA1">
      <w:pPr>
        <w:spacing w:before="240" w:after="240"/>
        <w:ind w:firstLine="720"/>
      </w:pPr>
      <w:r>
        <w:t>Over the past two decades, these walls have started to crumble. Disruptions such as digitalisation, platformisation and the rise of audience metrics have shaken journalism’s economic and professional foundations (Steensen and Westlund, 2020; van Dijck et al., 2019;  Dodds et al., 2023). As Costera Meijer (2020) argues, the quality discourse has increasingly been supplemented, and in some contexts displaced by innovation as anchoring discourse, as news organisations search for solutions to multiple crises of sustainability (Hermida and Young, 2021). Innovation thus shifts from an external threat to a normative expectation: newsrooms are expected to experiment with new formats, technologies and relationships with audiences (Steensen and Westlund, 2020; Belair-Gagnon and Steinke, 2020; Loosen et al., 2025).</w:t>
      </w:r>
    </w:p>
    <w:p w14:paraId="10442453" w14:textId="77777777" w:rsidR="00CB4DA1" w:rsidRDefault="00CB4DA1" w:rsidP="00CB4DA1">
      <w:pPr>
        <w:spacing w:before="240" w:after="240"/>
        <w:ind w:firstLine="720"/>
      </w:pPr>
      <w:r>
        <w:t xml:space="preserve">This reorientation has brought with it the ‘welcoming’, or perceived intrusion, of new technologies, such as real-time audience metrics dashboards, AI-driven tools and platform infrastructures (Cools et al., 2022; Christin and Petre, 2020; Lewis et al., 2025). It has also reconfigured long-standing boundaries between editorial and commercial functions. As news organisations embrace product thinking and data-informed decision-making, the traditional separation between newsroom and marketing or product teams has become more porous (Drew and Thomas, 2018). Similar tensions arise in the relationship with funders. For a long time, public </w:t>
      </w:r>
      <w:r>
        <w:lastRenderedPageBreak/>
        <w:t>authorities and commercial sponsors were kept “out of the newsroom” to safeguard editorial independence and integrity (Nielsen et al., 2019). The turn towards innovation and research-and-development has, however, opened the door for funding schemes that intervene at the level of tools, infrastructures and organisational processes rather than content (Costera Meijer, 2020; Meier et al., 2024).</w:t>
      </w:r>
    </w:p>
    <w:p w14:paraId="213232FC" w14:textId="77777777" w:rsidR="00CB4DA1" w:rsidRDefault="00CB4DA1" w:rsidP="00CB4DA1">
      <w:pPr>
        <w:spacing w:before="240" w:after="240"/>
        <w:ind w:firstLine="720"/>
      </w:pPr>
      <w:r>
        <w:t>In this context, a more interventionist approach by governments to resource media innovation has become widely accepted in both industry and academia (Nielsen et al., 2019). Innovation grants, accelerator programmes and public–private partnerships are framed as necessary to enhance the technological resilience and economic viability of news organisations (Noster, 2025). Yet this innovation discourse and the funding instruments it legitimises are not neutral: they interact with existing field logics and organisational capacities, potentially amplifying participation advantages for large incumbents and raising new barriers for smaller outlets. The next sections unpack how these dynamics play out in publicly funded innovation programmes and how they shape who gets to innovate.</w:t>
      </w:r>
    </w:p>
    <w:p w14:paraId="1DDAB52E" w14:textId="77777777" w:rsidR="00CB4DA1" w:rsidRDefault="00CB4DA1" w:rsidP="00CB4DA1">
      <w:pPr>
        <w:pStyle w:val="Kop3"/>
        <w:keepNext w:val="0"/>
        <w:keepLines w:val="0"/>
        <w:spacing w:before="280"/>
        <w:rPr>
          <w:b/>
          <w:bCs/>
          <w:color w:val="000000"/>
        </w:rPr>
      </w:pPr>
      <w:bookmarkStart w:id="5" w:name="_3cgaw8y45o1m" w:colFirst="0" w:colLast="0"/>
      <w:bookmarkEnd w:id="5"/>
      <w:r>
        <w:rPr>
          <w:b/>
          <w:bCs/>
          <w:color w:val="000000"/>
        </w:rPr>
        <w:t>Innovation funding as a field-level intervention</w:t>
      </w:r>
    </w:p>
    <w:p w14:paraId="6A657210" w14:textId="77777777" w:rsidR="00CB4DA1" w:rsidRDefault="00CB4DA1" w:rsidP="00CB4DA1">
      <w:pPr>
        <w:spacing w:before="240" w:after="240"/>
      </w:pPr>
      <w:r>
        <w:t xml:space="preserve">In many European media systems, support for journalism has gradually diversified from traditional instruments such as direct press subsidies, tax exemptions and public service broadcasting budgets towards a growing range of innovation-oriented schemes (Henningsen and Krčál, 2024). Whereas earlier interventions primarily aimed to safeguard pluralism and the provision of quality news content, newer instruments are explicitly framed as enabling digital transformation, experimentation and organisational resilience (Zambelli et al., 2025; Kaltenbrunner, 2025). These schemes </w:t>
      </w:r>
      <w:r>
        <w:lastRenderedPageBreak/>
        <w:t>typically take the form of project-based, competitive calls in which news organisations, often in partnership with technology providers or universities, apply for time-limited funding to develop tools, services or workflows (Brogi and Sjovaag, 2023). Innovation labs, thematic hubs (for example around AI) and accelerator programmes are established within or alongside media organisations to channel such support (Biso Nunes et al., 2025; Cools et al., 2022). Because these initiatives formally target infrastructures, formats and processes rather than editorial content, they are frequently presented as non-intrusive, and not affecting journalistic autonomy (Deuze and Witschge, 2020). Yet by selectively allocating resources for innovation, they operate as field-level interventions that shape which actors can adapt, evolve and ultimately survive.</w:t>
      </w:r>
    </w:p>
    <w:p w14:paraId="50D5AD2C" w14:textId="77777777" w:rsidR="00CB4DA1" w:rsidRDefault="00CB4DA1" w:rsidP="00CB4DA1">
      <w:pPr>
        <w:spacing w:before="240" w:after="240"/>
        <w:ind w:firstLine="720"/>
      </w:pPr>
      <w:r>
        <w:t>Across these programmes, a relatively standard repertoire of instruments has emerged, including grants, incubators, R&amp;D partnerships, innovation labs and sandboxes (Henningsen and Krčál, 2024). These instruments are accompanied by evaluative criteria that privilege particular visions of “good” innovation. Scalability, technological novelty, cross-organisational collaboration and demonstrable impact on the wider media ecosystem are routinely placed at the centre of application guidelines and post-project reporting requirements (Harbers et al., 2024). Such criteria embed specific imaginaries of journalism’s future: platform-centred, datafied and product-oriented. Organisations that lack in-house technical expertise, product development capacities or data infrastructures are therefore disadvantaged from the outset, as they struggle to design projects that align with these expectations or to deliver the required performance indicators (Newman, 2022).</w:t>
      </w:r>
    </w:p>
    <w:p w14:paraId="30615743" w14:textId="77777777" w:rsidR="00CB4DA1" w:rsidRDefault="00CB4DA1" w:rsidP="00CB4DA1">
      <w:pPr>
        <w:spacing w:before="240" w:after="240"/>
        <w:ind w:firstLine="720"/>
      </w:pPr>
      <w:r>
        <w:lastRenderedPageBreak/>
        <w:t>A further set of barriers arises from the expectation that funded projects generate benefits beyond the participating organisation. Proposals that promise sector-wide applicability, open-source tools or reusable frameworks tend to be favoured (</w:t>
      </w:r>
      <w:commentRangeStart w:id="6"/>
      <w:r>
        <w:rPr>
          <w:highlight w:val="yellow"/>
        </w:rPr>
        <w:t>SOURCE</w:t>
      </w:r>
      <w:commentRangeEnd w:id="6"/>
      <w:r w:rsidR="00C25374">
        <w:rPr>
          <w:rStyle w:val="Verwijzingopmerking"/>
          <w:sz w:val="22"/>
          <w:szCs w:val="22"/>
        </w:rPr>
        <w:commentReference w:id="6"/>
      </w:r>
      <w:r>
        <w:t>). The ability to operate at scale and to move quickly through development cycles gives large incumbents a structural advantage in convincing evaluators that their innovations will have ecosystem-wide effects. Moreover, many schemes explicitly encourage or require inter- and intrasectoral collaboration. Building credible consortia presupposes dense networks among news organisations, technology firms and knowledge institutions; networks that are more readily available to established players than to smaller or peripheral outlets (Kaltenbrunner et al., 2025). Policy network analyses of specific programmes, including the Flemish Digital Transformation for the Media Sector programme examined in this article, suggest that actors with close ties to funders and reviewers are better positioned to shape problem definitions, evaluation frameworks and informal understandings of what counts as a “fundable” proposal (Zambelli, Truyens, and Picone., in review).</w:t>
      </w:r>
    </w:p>
    <w:p w14:paraId="215D7CDC" w14:textId="77777777" w:rsidR="00CB4DA1" w:rsidRDefault="00CB4DA1" w:rsidP="00CB4DA1">
      <w:pPr>
        <w:spacing w:before="240" w:after="240"/>
        <w:ind w:firstLine="720"/>
      </w:pPr>
      <w:r>
        <w:t xml:space="preserve">Participation in innovation funding also depends on substantial organisational capacity at the application and implementation stages. Preparing competitive bids requires time, administrative skill and grant-writing expertise, as well as the ability to manage partnerships and anticipate reporting obligations (Meier et al., 2024). Once a project is awarded, beneficiaries must dedicate personnel to project management, coordination and financial oversight, often drawing on existing R&amp;D teams, product units and technical staff (Meier et al., 2024; Zambelli et al., 2025). Many schemes additionally require co-funding or in-kind contributions, which can strain the budgets of smaller organisations and exclude those without financial buffers. </w:t>
      </w:r>
    </w:p>
    <w:p w14:paraId="1A8BBD65" w14:textId="77777777" w:rsidR="00CB4DA1" w:rsidRDefault="00CB4DA1" w:rsidP="00CB4DA1">
      <w:pPr>
        <w:spacing w:before="240" w:after="240"/>
        <w:ind w:firstLine="720"/>
      </w:pPr>
      <w:r>
        <w:lastRenderedPageBreak/>
        <w:t>In combination, these capacity demands mean that formal eligibility does not translate into equal ability to participate. Rather, innovation funding risks reinforcing cumulative advantages for large, resource-rich incumbents while limiting the opportunities of smaller or less professionalised actors to engage in structured experimentation (Enli et al., 2019). Entering the volatile media market gets clouded for new players. The uneven starting positions become even more uneven, i.e. a Matthew effect emerges. In the remainder of this article, we examine how these dynamics materialise in the Flemish Digital Transformation for the Media Sector programme and what they reveal about who gets to innovate in journalism.</w:t>
      </w:r>
    </w:p>
    <w:p w14:paraId="7DED8B61" w14:textId="77777777" w:rsidR="00CB4DA1" w:rsidRDefault="00CB4DA1" w:rsidP="00CB4DA1">
      <w:pPr>
        <w:spacing w:before="240" w:after="240"/>
        <w:ind w:firstLine="720"/>
      </w:pPr>
      <w:r>
        <w:t>The gap this study fills is the lack of field-level analyses of participation patterns. We know little about how programme design interacts with existing disparities in size, ownership, and organisational capacity. Innovation funding is capacity-intensive, and therefore inherently selective, even before any formal inequality is intended. Against this backdrop, our analysis of the Flemish Digital Transformation programme examines how a policy instrument ostensibly designed to support the sector as a whole, in practice allocates innovation opportunities, and with what consequences for different types of news organisations. Furthermore, many case studies of specific labs or projects are examined in previous studies (e.g., Cools et al., 2022). However, very little systematic work on who</w:t>
      </w:r>
      <w:r>
        <w:rPr>
          <w:i/>
          <w:iCs/>
        </w:rPr>
        <w:t xml:space="preserve"> </w:t>
      </w:r>
      <w:r>
        <w:t>participates</w:t>
      </w:r>
      <w:r>
        <w:rPr>
          <w:i/>
          <w:iCs/>
        </w:rPr>
        <w:t xml:space="preserve"> </w:t>
      </w:r>
      <w:r>
        <w:t>in, wins, and benefits</w:t>
      </w:r>
      <w:r>
        <w:rPr>
          <w:i/>
          <w:iCs/>
        </w:rPr>
        <w:t xml:space="preserve"> </w:t>
      </w:r>
      <w:r>
        <w:t>from public journalism innovation programmes is analysed in a phase-based manner.</w:t>
      </w:r>
    </w:p>
    <w:p w14:paraId="1D08F137" w14:textId="77777777" w:rsidR="00CB4DA1" w:rsidRDefault="00CB4DA1" w:rsidP="00CB4DA1">
      <w:pPr>
        <w:spacing w:before="240" w:after="240"/>
        <w:ind w:firstLine="720"/>
        <w:rPr>
          <w:shd w:val="clear" w:color="auto" w:fill="D9D9D9"/>
        </w:rPr>
      </w:pPr>
      <w:r>
        <w:t>In the subsequent methodological section, we zoom in on this particular case and lay bare our phase-based analysis of this programme. Exposing when, where, how and why certain news organisations are successful and deemed more “fundable”.</w:t>
      </w:r>
    </w:p>
    <w:p w14:paraId="7B1A90E3" w14:textId="77777777" w:rsidR="00CB4DA1" w:rsidRDefault="00CB4DA1" w:rsidP="00CB4DA1">
      <w:pPr>
        <w:pStyle w:val="Kop2"/>
        <w:keepNext w:val="0"/>
        <w:keepLines w:val="0"/>
        <w:spacing w:after="80"/>
        <w:rPr>
          <w:b/>
          <w:bCs/>
          <w:sz w:val="34"/>
          <w:szCs w:val="34"/>
        </w:rPr>
      </w:pPr>
      <w:bookmarkStart w:id="7" w:name="_d4qogbatz38b" w:colFirst="0" w:colLast="0"/>
      <w:bookmarkEnd w:id="7"/>
      <w:r>
        <w:rPr>
          <w:b/>
          <w:bCs/>
          <w:sz w:val="34"/>
          <w:szCs w:val="34"/>
        </w:rPr>
        <w:lastRenderedPageBreak/>
        <w:t>Methodology</w:t>
      </w:r>
    </w:p>
    <w:p w14:paraId="4535405D" w14:textId="77777777" w:rsidR="00CB4DA1" w:rsidRDefault="00CB4DA1" w:rsidP="00CB4DA1">
      <w:pPr>
        <w:pStyle w:val="Kop3"/>
        <w:keepNext w:val="0"/>
        <w:keepLines w:val="0"/>
        <w:spacing w:before="280"/>
        <w:rPr>
          <w:b/>
          <w:bCs/>
          <w:color w:val="000000"/>
        </w:rPr>
      </w:pPr>
      <w:bookmarkStart w:id="8" w:name="_2o92r172ydjo" w:colFirst="0" w:colLast="0"/>
      <w:bookmarkEnd w:id="8"/>
      <w:r>
        <w:rPr>
          <w:b/>
          <w:bCs/>
          <w:color w:val="000000"/>
        </w:rPr>
        <w:t>The Digital Transformation for the Media Sector programme</w:t>
      </w:r>
    </w:p>
    <w:p w14:paraId="26F2F8D8" w14:textId="77777777" w:rsidR="00CB4DA1" w:rsidRDefault="00CB4DA1" w:rsidP="00CB4DA1">
      <w:pPr>
        <w:spacing w:before="240" w:after="240"/>
      </w:pPr>
      <w:r>
        <w:t xml:space="preserve">On 2 April 2021, the Flemish Government decided to allocate €35 million to the programme </w:t>
      </w:r>
      <w:r>
        <w:rPr>
          <w:i/>
          <w:iCs/>
        </w:rPr>
        <w:t>Digital Transformation for the Flemish Media Sector</w:t>
      </w:r>
      <w:r>
        <w:t>. The budget was drawn from two policy domains, Media and Innovation, with the explicit aim of encouraging the Flemish media sector to invest more in digitalisation and technological innovation. The overarching goal was to strengthen the technological resilience and economic viability of the Flemish media ecosystem (Vlaanderen.be, 2021). Various Flemish media organisations and academic experts were closely involved in the design of the programme (Zambelli, Truyens, and Picone, in review).</w:t>
      </w:r>
    </w:p>
    <w:p w14:paraId="52412DC4" w14:textId="77777777" w:rsidR="00CB4DA1" w:rsidRDefault="00CB4DA1" w:rsidP="00CB4DA1">
      <w:pPr>
        <w:spacing w:before="240" w:after="240"/>
        <w:ind w:firstLine="720"/>
      </w:pPr>
      <w:r>
        <w:t xml:space="preserve">The programme was administered by the Department of Media on behalf of the Flemish Government, in coordination with the policy domains Media and Innovation. Oversight and monitoring were organised via reporting and board meetings, including twice-yearly progress reports. </w:t>
      </w:r>
    </w:p>
    <w:p w14:paraId="298593FE" w14:textId="77777777" w:rsidR="00CB4DA1" w:rsidRDefault="00CB4DA1" w:rsidP="00CB4DA1">
      <w:pPr>
        <w:spacing w:before="240" w:after="240"/>
        <w:ind w:firstLine="720"/>
      </w:pPr>
      <w:r>
        <w:t xml:space="preserve">The programme consisted of six project lines: (1) Developing a crossmedial and multiplatform measuring system (budget estimate: €4.000.000); (2) Developing a cloud to share digital tools across the media sector, under the moniker ‘Media hub’ (€4.000.000); (3) Fight against disinformation call (€3.000.000);  (4) Digital transformation of regional broadcasters (€2.000.000); (5) Digital transformation call, consisting of three clusters (prominence of Flemish content, smart tech to improve efficiency, and quality of media production, storage, distribution and value creation) + (6) Instrumentarium for media innovation call, focussing on applied research and </w:t>
      </w:r>
      <w:r>
        <w:lastRenderedPageBreak/>
        <w:t>innovation components (€21.500.000). With the addition of operating costs, this programme totals €35.000.000 (Vlaanderen.be, 2021). Application counts per line were not publicly available; therefore, the descriptive statistics below refer to funded projects only.</w:t>
      </w:r>
    </w:p>
    <w:p w14:paraId="048B3E4F" w14:textId="77777777" w:rsidR="00CB4DA1" w:rsidRDefault="00CB4DA1" w:rsidP="00CB4DA1">
      <w:pPr>
        <w:spacing w:before="240" w:after="240"/>
        <w:ind w:firstLine="720"/>
      </w:pPr>
      <w:r>
        <w:t>Across project lines, calls were launched at the start of 2022. Project line 3 had a run time of 24 months and project lines 1 and 2 had a run time of four years. For project lines 1, 2, and 4 the application process was closed and consortia were brought together by the Flemish Government. In project line 3 , five projects were granted. In project line 5 and 6, eighteen projects were granted.</w:t>
      </w:r>
    </w:p>
    <w:p w14:paraId="6CE217AA" w14:textId="77777777" w:rsidR="00CB4DA1" w:rsidRDefault="00CB4DA1" w:rsidP="00CB4DA1">
      <w:pPr>
        <w:spacing w:before="240" w:after="240"/>
        <w:ind w:firstLine="720"/>
      </w:pPr>
      <w:r>
        <w:t>Eligibility requirements specified (as formulated in the publicly available programme description) Flemish media organisations, technology organisations, and intermediaries working in the field of media could apply. Consortia had to be formed, preferring cross sector consortia. Within approximately six months of the call opening, proposals were assessed and funding decisions were finalised by the competent governmental bodies and appointed evaluation panels. Public programme documentation does not specify the consortium size; these design features were therefore reconstructed from interviews and the funded-project portfolio.</w:t>
      </w:r>
    </w:p>
    <w:p w14:paraId="38B2D316" w14:textId="77777777" w:rsidR="00CB4DA1" w:rsidRDefault="00CB4DA1" w:rsidP="00CB4DA1">
      <w:pPr>
        <w:spacing w:before="240" w:after="240"/>
        <w:ind w:firstLine="720"/>
      </w:pPr>
      <w:r>
        <w:t xml:space="preserve">Across the 23 funded projects as part of the open calls, one or more of  the ‘big four’ legacy news organisations (VRT, DPG Media, Mediahuis, Roularta Media Group) participated in the majority of projects. Their participation is particularly concentrated in higher-funded projects (defined here as grants above €500.000, following the distinction made by the initiator of the programme). The public service media organisation participated in seven projects, including four as lead applicant and three </w:t>
      </w:r>
      <w:r>
        <w:lastRenderedPageBreak/>
        <w:t>as partner. Small, digital-born outlets participated in five projects and were primarily involved in lower-funded projects (below €500.000), never in a leading role. These counts were derived from the publicly available list of funded projects and consortium compositions published by the Department of Media (2022).</w:t>
      </w:r>
    </w:p>
    <w:p w14:paraId="3F58D66C" w14:textId="77777777" w:rsidR="00CB4DA1" w:rsidRDefault="00CB4DA1" w:rsidP="00CB4DA1">
      <w:pPr>
        <w:spacing w:before="240" w:after="240"/>
        <w:ind w:firstLine="720"/>
      </w:pPr>
      <w:r>
        <w:t xml:space="preserve">These descriptive patterns do not on their own establish the causes of participation inequality; the interview analysis below therefore examines how call design, consortium formation practices, and organisational capacities interacted across programme phases to enable or constrain participation by different actor types.  </w:t>
      </w:r>
    </w:p>
    <w:p w14:paraId="4E26C87F" w14:textId="77777777" w:rsidR="00CB4DA1" w:rsidRDefault="00CB4DA1" w:rsidP="00CB4DA1">
      <w:pPr>
        <w:spacing w:before="240" w:after="240"/>
        <w:rPr>
          <w:b/>
          <w:bCs/>
          <w:color w:val="000000"/>
          <w:sz w:val="26"/>
          <w:szCs w:val="26"/>
        </w:rPr>
      </w:pPr>
      <w:r>
        <w:rPr>
          <w:b/>
          <w:bCs/>
          <w:color w:val="000000"/>
          <w:sz w:val="26"/>
          <w:szCs w:val="26"/>
        </w:rPr>
        <w:t>Sampling strategy: consulting participants and non-participants</w:t>
      </w:r>
    </w:p>
    <w:p w14:paraId="40E6931E" w14:textId="77777777" w:rsidR="00CB4DA1" w:rsidRDefault="00CB4DA1" w:rsidP="00CB4DA1">
      <w:pPr>
        <w:spacing w:before="240" w:after="240"/>
      </w:pPr>
      <w:r>
        <w:t>To answer our research questions, we conducted interviews with 40 experts. We first constructed a sampling frame by listing all organisations involved in the projects that received funding under the programme. From this list, we purposively selected 32 informants, prioritising individuals who took on a leading or coordinating role within a project consortium. Their profiles ranged from editors-in-chief and senior newsroom managers to technology managers and product leads.</w:t>
      </w:r>
    </w:p>
    <w:p w14:paraId="68A6BDB6" w14:textId="77777777" w:rsidR="00CB4DA1" w:rsidRDefault="00CB4DA1" w:rsidP="00CB4DA1">
      <w:pPr>
        <w:spacing w:before="240" w:after="240"/>
        <w:ind w:firstLine="720"/>
      </w:pPr>
      <w:r>
        <w:t xml:space="preserve">Because our research questions concern not only those who participate in innovation funding but also those who remain at the margins, we deliberately complemented this group with actors who were not represented in any of the funded projects. These included organisations that had wished to apply but were unable to do so, organisations that failed to secure a place in a consortium, and organisations whose applications were not granted (n=6). In addition, we interviewed two </w:t>
      </w:r>
      <w:r>
        <w:lastRenderedPageBreak/>
        <w:t xml:space="preserve">representatives from the main journalism associations in Flanders in order to capture sector-level perspectives on the programme and its distributional effects. </w:t>
      </w:r>
    </w:p>
    <w:p w14:paraId="5FC8EAD2" w14:textId="77777777" w:rsidR="00CB4DA1" w:rsidRDefault="00CB4DA1" w:rsidP="00CB4DA1">
      <w:pPr>
        <w:spacing w:before="240" w:after="240"/>
        <w:ind w:firstLine="720"/>
      </w:pPr>
      <w:r>
        <w:t>Table 1 provides an overview of the informants, their organisational affiliations, and whether they were participating in one of the allocated projects.</w:t>
      </w:r>
    </w:p>
    <w:p w14:paraId="39E57639" w14:textId="77777777" w:rsidR="00CB4DA1" w:rsidRDefault="00CB4DA1" w:rsidP="00CB4DA1">
      <w:pPr>
        <w:spacing w:before="240" w:after="240"/>
        <w:rPr>
          <w:i/>
          <w:iCs/>
          <w:sz w:val="20"/>
          <w:szCs w:val="20"/>
          <w:highlight w:val="yellow"/>
        </w:rPr>
      </w:pPr>
      <w:r>
        <w:rPr>
          <w:i/>
          <w:iCs/>
          <w:sz w:val="20"/>
          <w:szCs w:val="20"/>
          <w:highlight w:val="yellow"/>
        </w:rPr>
        <w:t>Table 1. Informant matrix</w:t>
      </w:r>
    </w:p>
    <w:tbl>
      <w:tblPr>
        <w:tblW w:w="10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28"/>
        <w:gridCol w:w="495"/>
        <w:gridCol w:w="2402"/>
        <w:gridCol w:w="2551"/>
        <w:gridCol w:w="3530"/>
      </w:tblGrid>
      <w:tr w:rsidR="008625D5" w14:paraId="1DA214FE" w14:textId="77777777" w:rsidTr="0072096F">
        <w:tc>
          <w:tcPr>
            <w:tcW w:w="1228" w:type="dxa"/>
            <w:tcMar>
              <w:top w:w="100" w:type="dxa"/>
              <w:left w:w="100" w:type="dxa"/>
              <w:bottom w:w="100" w:type="dxa"/>
              <w:right w:w="100" w:type="dxa"/>
            </w:tcMar>
          </w:tcPr>
          <w:p w14:paraId="32F52CD1" w14:textId="77777777" w:rsidR="008625D5" w:rsidRDefault="008625D5" w:rsidP="000B7F9D">
            <w:pPr>
              <w:widowControl w:val="0"/>
              <w:pBdr>
                <w:top w:val="nil"/>
                <w:left w:val="nil"/>
                <w:bottom w:val="nil"/>
                <w:right w:val="nil"/>
                <w:between w:val="nil"/>
              </w:pBdr>
              <w:spacing w:line="240" w:lineRule="auto"/>
              <w:jc w:val="left"/>
              <w:rPr>
                <w:b/>
                <w:bCs/>
              </w:rPr>
            </w:pPr>
            <w:commentRangeStart w:id="9"/>
            <w:commentRangeStart w:id="10"/>
            <w:r>
              <w:rPr>
                <w:b/>
                <w:bCs/>
              </w:rPr>
              <w:t>Code</w:t>
            </w:r>
            <w:commentRangeEnd w:id="9"/>
            <w:r w:rsidR="007403E3">
              <w:rPr>
                <w:rStyle w:val="Verwijzingopmerking"/>
                <w:b/>
                <w:bCs/>
                <w:sz w:val="22"/>
                <w:szCs w:val="22"/>
              </w:rPr>
              <w:commentReference w:id="9"/>
            </w:r>
            <w:commentRangeEnd w:id="10"/>
            <w:r w:rsidR="00623629">
              <w:rPr>
                <w:rStyle w:val="Verwijzingopmerking"/>
                <w:b/>
                <w:bCs/>
                <w:sz w:val="22"/>
                <w:szCs w:val="22"/>
              </w:rPr>
              <w:commentReference w:id="10"/>
            </w:r>
          </w:p>
        </w:tc>
        <w:tc>
          <w:tcPr>
            <w:tcW w:w="495" w:type="dxa"/>
          </w:tcPr>
          <w:p w14:paraId="6C0B36E1" w14:textId="38D9A3E3" w:rsidR="008625D5" w:rsidRDefault="008625D5" w:rsidP="000B7F9D">
            <w:pPr>
              <w:widowControl w:val="0"/>
              <w:pBdr>
                <w:top w:val="nil"/>
                <w:left w:val="nil"/>
                <w:bottom w:val="nil"/>
                <w:right w:val="nil"/>
                <w:between w:val="nil"/>
              </w:pBdr>
              <w:spacing w:line="240" w:lineRule="auto"/>
              <w:jc w:val="left"/>
              <w:rPr>
                <w:b/>
                <w:bCs/>
              </w:rPr>
            </w:pPr>
            <w:r>
              <w:rPr>
                <w:b/>
                <w:bCs/>
              </w:rPr>
              <w:t>#</w:t>
            </w:r>
          </w:p>
        </w:tc>
        <w:tc>
          <w:tcPr>
            <w:tcW w:w="2402" w:type="dxa"/>
            <w:tcMar>
              <w:top w:w="100" w:type="dxa"/>
              <w:left w:w="100" w:type="dxa"/>
              <w:bottom w:w="100" w:type="dxa"/>
              <w:right w:w="100" w:type="dxa"/>
            </w:tcMar>
          </w:tcPr>
          <w:p w14:paraId="02C52C0A" w14:textId="0DCF7D6B" w:rsidR="008625D5" w:rsidRDefault="008625D5" w:rsidP="000B7F9D">
            <w:pPr>
              <w:widowControl w:val="0"/>
              <w:pBdr>
                <w:top w:val="nil"/>
                <w:left w:val="nil"/>
                <w:bottom w:val="nil"/>
                <w:right w:val="nil"/>
                <w:between w:val="nil"/>
              </w:pBdr>
              <w:spacing w:line="240" w:lineRule="auto"/>
              <w:jc w:val="left"/>
              <w:rPr>
                <w:b/>
                <w:bCs/>
              </w:rPr>
            </w:pPr>
            <w:r>
              <w:rPr>
                <w:b/>
                <w:bCs/>
              </w:rPr>
              <w:t>Role in the project</w:t>
            </w:r>
          </w:p>
        </w:tc>
        <w:tc>
          <w:tcPr>
            <w:tcW w:w="2551" w:type="dxa"/>
            <w:tcMar>
              <w:top w:w="100" w:type="dxa"/>
              <w:left w:w="100" w:type="dxa"/>
              <w:bottom w:w="100" w:type="dxa"/>
              <w:right w:w="100" w:type="dxa"/>
            </w:tcMar>
          </w:tcPr>
          <w:p w14:paraId="61373480" w14:textId="77777777" w:rsidR="008625D5" w:rsidRDefault="008625D5" w:rsidP="000B7F9D">
            <w:pPr>
              <w:widowControl w:val="0"/>
              <w:pBdr>
                <w:top w:val="nil"/>
                <w:left w:val="nil"/>
                <w:bottom w:val="nil"/>
                <w:right w:val="nil"/>
                <w:between w:val="nil"/>
              </w:pBdr>
              <w:spacing w:line="240" w:lineRule="auto"/>
              <w:jc w:val="left"/>
              <w:rPr>
                <w:b/>
                <w:bCs/>
              </w:rPr>
            </w:pPr>
            <w:r>
              <w:rPr>
                <w:b/>
                <w:bCs/>
              </w:rPr>
              <w:t>Project line / Project size</w:t>
            </w:r>
          </w:p>
        </w:tc>
        <w:tc>
          <w:tcPr>
            <w:tcW w:w="3530" w:type="dxa"/>
            <w:tcMar>
              <w:top w:w="100" w:type="dxa"/>
              <w:left w:w="100" w:type="dxa"/>
              <w:bottom w:w="100" w:type="dxa"/>
              <w:right w:w="100" w:type="dxa"/>
            </w:tcMar>
          </w:tcPr>
          <w:p w14:paraId="1DE60D89" w14:textId="77777777" w:rsidR="008625D5" w:rsidRDefault="008625D5" w:rsidP="000B7F9D">
            <w:pPr>
              <w:widowControl w:val="0"/>
              <w:spacing w:line="240" w:lineRule="auto"/>
              <w:jc w:val="left"/>
              <w:rPr>
                <w:b/>
                <w:bCs/>
              </w:rPr>
            </w:pPr>
            <w:r>
              <w:rPr>
                <w:b/>
                <w:bCs/>
              </w:rPr>
              <w:t>Function description</w:t>
            </w:r>
          </w:p>
        </w:tc>
      </w:tr>
      <w:tr w:rsidR="008625D5" w14:paraId="3098613A" w14:textId="77777777" w:rsidTr="0072096F">
        <w:tc>
          <w:tcPr>
            <w:tcW w:w="1228" w:type="dxa"/>
            <w:tcMar>
              <w:top w:w="100" w:type="dxa"/>
              <w:left w:w="100" w:type="dxa"/>
              <w:bottom w:w="100" w:type="dxa"/>
              <w:right w:w="100" w:type="dxa"/>
            </w:tcMar>
          </w:tcPr>
          <w:p w14:paraId="6E0C0E0A" w14:textId="77777777" w:rsidR="008625D5" w:rsidRDefault="008625D5" w:rsidP="000B7F9D">
            <w:pPr>
              <w:widowControl w:val="0"/>
              <w:pBdr>
                <w:top w:val="nil"/>
                <w:left w:val="nil"/>
                <w:bottom w:val="nil"/>
                <w:right w:val="nil"/>
                <w:between w:val="nil"/>
              </w:pBdr>
              <w:spacing w:line="240" w:lineRule="auto"/>
              <w:jc w:val="left"/>
            </w:pPr>
            <w:r>
              <w:t>01_BP</w:t>
            </w:r>
          </w:p>
        </w:tc>
        <w:tc>
          <w:tcPr>
            <w:tcW w:w="495" w:type="dxa"/>
          </w:tcPr>
          <w:p w14:paraId="0C6A73E2" w14:textId="25042B43" w:rsidR="008625D5" w:rsidRDefault="007403E3" w:rsidP="000B7F9D">
            <w:pPr>
              <w:widowControl w:val="0"/>
              <w:pBdr>
                <w:top w:val="nil"/>
                <w:left w:val="nil"/>
                <w:bottom w:val="nil"/>
                <w:right w:val="nil"/>
                <w:between w:val="nil"/>
              </w:pBdr>
              <w:spacing w:line="240" w:lineRule="auto"/>
              <w:jc w:val="left"/>
            </w:pPr>
            <w:r>
              <w:t>1</w:t>
            </w:r>
          </w:p>
        </w:tc>
        <w:tc>
          <w:tcPr>
            <w:tcW w:w="2402" w:type="dxa"/>
            <w:tcMar>
              <w:top w:w="100" w:type="dxa"/>
              <w:left w:w="100" w:type="dxa"/>
              <w:bottom w:w="100" w:type="dxa"/>
              <w:right w:w="100" w:type="dxa"/>
            </w:tcMar>
          </w:tcPr>
          <w:p w14:paraId="5F83978F" w14:textId="6099EEC9" w:rsidR="008625D5" w:rsidRDefault="008625D5" w:rsidP="000B7F9D">
            <w:pPr>
              <w:widowControl w:val="0"/>
              <w:pBdr>
                <w:top w:val="nil"/>
                <w:left w:val="nil"/>
                <w:bottom w:val="nil"/>
                <w:right w:val="nil"/>
                <w:between w:val="nil"/>
              </w:pBdr>
              <w:spacing w:line="240" w:lineRule="auto"/>
              <w:jc w:val="left"/>
            </w:pPr>
            <w:r>
              <w:t>Lead</w:t>
            </w:r>
          </w:p>
        </w:tc>
        <w:tc>
          <w:tcPr>
            <w:tcW w:w="2551" w:type="dxa"/>
            <w:tcMar>
              <w:top w:w="100" w:type="dxa"/>
              <w:left w:w="100" w:type="dxa"/>
              <w:bottom w:w="100" w:type="dxa"/>
              <w:right w:w="100" w:type="dxa"/>
            </w:tcMar>
          </w:tcPr>
          <w:p w14:paraId="565A2197" w14:textId="77777777" w:rsidR="008625D5" w:rsidRDefault="008625D5" w:rsidP="000B7F9D">
            <w:pPr>
              <w:widowControl w:val="0"/>
              <w:pBdr>
                <w:top w:val="nil"/>
                <w:left w:val="nil"/>
                <w:bottom w:val="nil"/>
                <w:right w:val="nil"/>
                <w:between w:val="nil"/>
              </w:pBdr>
              <w:spacing w:line="240" w:lineRule="auto"/>
              <w:jc w:val="left"/>
            </w:pPr>
            <w:r>
              <w:t>Digital transformation / Big</w:t>
            </w:r>
          </w:p>
        </w:tc>
        <w:tc>
          <w:tcPr>
            <w:tcW w:w="3530" w:type="dxa"/>
            <w:tcMar>
              <w:top w:w="100" w:type="dxa"/>
              <w:left w:w="100" w:type="dxa"/>
              <w:bottom w:w="100" w:type="dxa"/>
              <w:right w:w="100" w:type="dxa"/>
            </w:tcMar>
          </w:tcPr>
          <w:p w14:paraId="5AC7731F" w14:textId="77777777" w:rsidR="008625D5" w:rsidRDefault="008625D5" w:rsidP="000B7F9D">
            <w:pPr>
              <w:widowControl w:val="0"/>
              <w:pBdr>
                <w:top w:val="nil"/>
                <w:left w:val="nil"/>
                <w:bottom w:val="nil"/>
                <w:right w:val="nil"/>
                <w:between w:val="nil"/>
              </w:pBdr>
              <w:spacing w:line="240" w:lineRule="auto"/>
              <w:jc w:val="left"/>
            </w:pPr>
            <w:r>
              <w:t>Innovation department PSM</w:t>
            </w:r>
          </w:p>
        </w:tc>
      </w:tr>
      <w:tr w:rsidR="008625D5" w14:paraId="4E168F35" w14:textId="77777777" w:rsidTr="0072096F">
        <w:tc>
          <w:tcPr>
            <w:tcW w:w="1228" w:type="dxa"/>
            <w:tcMar>
              <w:top w:w="100" w:type="dxa"/>
              <w:left w:w="100" w:type="dxa"/>
              <w:bottom w:w="100" w:type="dxa"/>
              <w:right w:w="100" w:type="dxa"/>
            </w:tcMar>
          </w:tcPr>
          <w:p w14:paraId="60D6B64D" w14:textId="77777777" w:rsidR="008625D5" w:rsidRDefault="008625D5" w:rsidP="000B7F9D">
            <w:pPr>
              <w:widowControl w:val="0"/>
              <w:pBdr>
                <w:top w:val="nil"/>
                <w:left w:val="nil"/>
                <w:bottom w:val="nil"/>
                <w:right w:val="nil"/>
                <w:between w:val="nil"/>
              </w:pBdr>
              <w:spacing w:line="240" w:lineRule="auto"/>
              <w:jc w:val="left"/>
            </w:pPr>
            <w:r>
              <w:t>02_BP</w:t>
            </w:r>
          </w:p>
        </w:tc>
        <w:tc>
          <w:tcPr>
            <w:tcW w:w="495" w:type="dxa"/>
          </w:tcPr>
          <w:p w14:paraId="3B6BB208" w14:textId="2BFC7FBC" w:rsidR="008625D5" w:rsidRDefault="007403E3" w:rsidP="000B7F9D">
            <w:pPr>
              <w:widowControl w:val="0"/>
              <w:pBdr>
                <w:top w:val="nil"/>
                <w:left w:val="nil"/>
                <w:bottom w:val="nil"/>
                <w:right w:val="nil"/>
                <w:between w:val="nil"/>
              </w:pBdr>
              <w:spacing w:line="240" w:lineRule="auto"/>
              <w:jc w:val="left"/>
            </w:pPr>
            <w:r>
              <w:t>2</w:t>
            </w:r>
          </w:p>
        </w:tc>
        <w:tc>
          <w:tcPr>
            <w:tcW w:w="2402" w:type="dxa"/>
            <w:tcMar>
              <w:top w:w="100" w:type="dxa"/>
              <w:left w:w="100" w:type="dxa"/>
              <w:bottom w:w="100" w:type="dxa"/>
              <w:right w:w="100" w:type="dxa"/>
            </w:tcMar>
          </w:tcPr>
          <w:p w14:paraId="281C85B6" w14:textId="472A437B" w:rsidR="008625D5" w:rsidRDefault="008625D5" w:rsidP="000B7F9D">
            <w:pPr>
              <w:widowControl w:val="0"/>
              <w:pBdr>
                <w:top w:val="nil"/>
                <w:left w:val="nil"/>
                <w:bottom w:val="nil"/>
                <w:right w:val="nil"/>
                <w:between w:val="nil"/>
              </w:pBdr>
              <w:spacing w:line="240" w:lineRule="auto"/>
              <w:jc w:val="left"/>
            </w:pPr>
            <w:r>
              <w:t>Contributor</w:t>
            </w:r>
          </w:p>
        </w:tc>
        <w:tc>
          <w:tcPr>
            <w:tcW w:w="2551" w:type="dxa"/>
            <w:tcMar>
              <w:top w:w="100" w:type="dxa"/>
              <w:left w:w="100" w:type="dxa"/>
              <w:bottom w:w="100" w:type="dxa"/>
              <w:right w:w="100" w:type="dxa"/>
            </w:tcMar>
          </w:tcPr>
          <w:p w14:paraId="69425382"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308A8B81" w14:textId="77777777" w:rsidR="008625D5" w:rsidRDefault="008625D5" w:rsidP="000B7F9D">
            <w:pPr>
              <w:widowControl w:val="0"/>
              <w:pBdr>
                <w:top w:val="nil"/>
                <w:left w:val="nil"/>
                <w:bottom w:val="nil"/>
                <w:right w:val="nil"/>
                <w:between w:val="nil"/>
              </w:pBdr>
              <w:spacing w:line="240" w:lineRule="auto"/>
              <w:jc w:val="left"/>
            </w:pPr>
          </w:p>
        </w:tc>
      </w:tr>
      <w:tr w:rsidR="008625D5" w14:paraId="79AE95B8" w14:textId="77777777" w:rsidTr="0072096F">
        <w:tc>
          <w:tcPr>
            <w:tcW w:w="1228" w:type="dxa"/>
            <w:tcMar>
              <w:top w:w="100" w:type="dxa"/>
              <w:left w:w="100" w:type="dxa"/>
              <w:bottom w:w="100" w:type="dxa"/>
              <w:right w:w="100" w:type="dxa"/>
            </w:tcMar>
          </w:tcPr>
          <w:p w14:paraId="5280B8B3" w14:textId="77777777" w:rsidR="008625D5" w:rsidRDefault="008625D5" w:rsidP="000B7F9D">
            <w:pPr>
              <w:widowControl w:val="0"/>
              <w:pBdr>
                <w:top w:val="nil"/>
                <w:left w:val="nil"/>
                <w:bottom w:val="nil"/>
                <w:right w:val="nil"/>
                <w:between w:val="nil"/>
              </w:pBdr>
              <w:spacing w:line="240" w:lineRule="auto"/>
              <w:jc w:val="left"/>
            </w:pPr>
            <w:r>
              <w:t>03_NP</w:t>
            </w:r>
          </w:p>
        </w:tc>
        <w:tc>
          <w:tcPr>
            <w:tcW w:w="495" w:type="dxa"/>
          </w:tcPr>
          <w:p w14:paraId="19504151" w14:textId="10BD1356" w:rsidR="008625D5" w:rsidRDefault="007403E3" w:rsidP="000B7F9D">
            <w:pPr>
              <w:widowControl w:val="0"/>
              <w:pBdr>
                <w:top w:val="nil"/>
                <w:left w:val="nil"/>
                <w:bottom w:val="nil"/>
                <w:right w:val="nil"/>
                <w:between w:val="nil"/>
              </w:pBdr>
              <w:spacing w:line="240" w:lineRule="auto"/>
              <w:jc w:val="left"/>
            </w:pPr>
            <w:r>
              <w:t>3</w:t>
            </w:r>
          </w:p>
        </w:tc>
        <w:tc>
          <w:tcPr>
            <w:tcW w:w="2402" w:type="dxa"/>
            <w:tcMar>
              <w:top w:w="100" w:type="dxa"/>
              <w:left w:w="100" w:type="dxa"/>
              <w:bottom w:w="100" w:type="dxa"/>
              <w:right w:w="100" w:type="dxa"/>
            </w:tcMar>
          </w:tcPr>
          <w:p w14:paraId="2F3A79B4" w14:textId="05FB6B4E" w:rsidR="008625D5" w:rsidRDefault="008625D5" w:rsidP="000B7F9D">
            <w:pPr>
              <w:widowControl w:val="0"/>
              <w:pBdr>
                <w:top w:val="nil"/>
                <w:left w:val="nil"/>
                <w:bottom w:val="nil"/>
                <w:right w:val="nil"/>
                <w:between w:val="nil"/>
              </w:pBdr>
              <w:spacing w:line="240" w:lineRule="auto"/>
              <w:jc w:val="left"/>
            </w:pPr>
            <w:r>
              <w:t>Non-participant</w:t>
            </w:r>
          </w:p>
        </w:tc>
        <w:tc>
          <w:tcPr>
            <w:tcW w:w="2551" w:type="dxa"/>
            <w:tcMar>
              <w:top w:w="100" w:type="dxa"/>
              <w:left w:w="100" w:type="dxa"/>
              <w:bottom w:w="100" w:type="dxa"/>
              <w:right w:w="100" w:type="dxa"/>
            </w:tcMar>
          </w:tcPr>
          <w:p w14:paraId="715BBD96"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67852378" w14:textId="77777777" w:rsidR="008625D5" w:rsidRDefault="008625D5" w:rsidP="000B7F9D">
            <w:pPr>
              <w:widowControl w:val="0"/>
              <w:pBdr>
                <w:top w:val="nil"/>
                <w:left w:val="nil"/>
                <w:bottom w:val="nil"/>
                <w:right w:val="nil"/>
                <w:between w:val="nil"/>
              </w:pBdr>
              <w:spacing w:line="240" w:lineRule="auto"/>
              <w:jc w:val="left"/>
            </w:pPr>
          </w:p>
        </w:tc>
      </w:tr>
      <w:tr w:rsidR="008625D5" w14:paraId="6DA88491" w14:textId="77777777" w:rsidTr="0072096F">
        <w:tc>
          <w:tcPr>
            <w:tcW w:w="1228" w:type="dxa"/>
            <w:tcMar>
              <w:top w:w="100" w:type="dxa"/>
              <w:left w:w="100" w:type="dxa"/>
              <w:bottom w:w="100" w:type="dxa"/>
              <w:right w:w="100" w:type="dxa"/>
            </w:tcMar>
          </w:tcPr>
          <w:p w14:paraId="39B2BFF6" w14:textId="77777777" w:rsidR="008625D5" w:rsidRDefault="008625D5" w:rsidP="000B7F9D">
            <w:pPr>
              <w:widowControl w:val="0"/>
              <w:pBdr>
                <w:top w:val="nil"/>
                <w:left w:val="nil"/>
                <w:bottom w:val="nil"/>
                <w:right w:val="nil"/>
                <w:between w:val="nil"/>
              </w:pBdr>
              <w:spacing w:line="240" w:lineRule="auto"/>
              <w:jc w:val="left"/>
            </w:pPr>
            <w:r>
              <w:t>04_BP</w:t>
            </w:r>
          </w:p>
        </w:tc>
        <w:tc>
          <w:tcPr>
            <w:tcW w:w="495" w:type="dxa"/>
          </w:tcPr>
          <w:p w14:paraId="532BB721" w14:textId="409B7B05" w:rsidR="008625D5" w:rsidRDefault="007403E3" w:rsidP="000B7F9D">
            <w:pPr>
              <w:widowControl w:val="0"/>
              <w:pBdr>
                <w:top w:val="nil"/>
                <w:left w:val="nil"/>
                <w:bottom w:val="nil"/>
                <w:right w:val="nil"/>
                <w:between w:val="nil"/>
              </w:pBdr>
              <w:spacing w:line="240" w:lineRule="auto"/>
              <w:jc w:val="left"/>
            </w:pPr>
            <w:r>
              <w:t>4</w:t>
            </w:r>
          </w:p>
        </w:tc>
        <w:tc>
          <w:tcPr>
            <w:tcW w:w="2402" w:type="dxa"/>
            <w:tcMar>
              <w:top w:w="100" w:type="dxa"/>
              <w:left w:w="100" w:type="dxa"/>
              <w:bottom w:w="100" w:type="dxa"/>
              <w:right w:w="100" w:type="dxa"/>
            </w:tcMar>
          </w:tcPr>
          <w:p w14:paraId="197B0D9F" w14:textId="186AC59C"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20C64AA8"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722AC3DA" w14:textId="77777777" w:rsidR="008625D5" w:rsidRDefault="008625D5" w:rsidP="000B7F9D">
            <w:pPr>
              <w:widowControl w:val="0"/>
              <w:pBdr>
                <w:top w:val="nil"/>
                <w:left w:val="nil"/>
                <w:bottom w:val="nil"/>
                <w:right w:val="nil"/>
                <w:between w:val="nil"/>
              </w:pBdr>
              <w:spacing w:line="240" w:lineRule="auto"/>
              <w:jc w:val="left"/>
            </w:pPr>
          </w:p>
        </w:tc>
      </w:tr>
      <w:tr w:rsidR="008625D5" w14:paraId="4E9BE3D0" w14:textId="77777777" w:rsidTr="0072096F">
        <w:tc>
          <w:tcPr>
            <w:tcW w:w="1228" w:type="dxa"/>
            <w:tcMar>
              <w:top w:w="100" w:type="dxa"/>
              <w:left w:w="100" w:type="dxa"/>
              <w:bottom w:w="100" w:type="dxa"/>
              <w:right w:w="100" w:type="dxa"/>
            </w:tcMar>
          </w:tcPr>
          <w:p w14:paraId="74F2B0F9" w14:textId="77777777" w:rsidR="008625D5" w:rsidRDefault="008625D5" w:rsidP="000B7F9D">
            <w:pPr>
              <w:widowControl w:val="0"/>
              <w:pBdr>
                <w:top w:val="nil"/>
                <w:left w:val="nil"/>
                <w:bottom w:val="nil"/>
                <w:right w:val="nil"/>
                <w:between w:val="nil"/>
              </w:pBdr>
              <w:spacing w:line="240" w:lineRule="auto"/>
              <w:jc w:val="left"/>
            </w:pPr>
            <w:r>
              <w:t>05_BP</w:t>
            </w:r>
          </w:p>
        </w:tc>
        <w:tc>
          <w:tcPr>
            <w:tcW w:w="495" w:type="dxa"/>
          </w:tcPr>
          <w:p w14:paraId="14F25548" w14:textId="27CB522C" w:rsidR="008625D5" w:rsidRDefault="007403E3" w:rsidP="000B7F9D">
            <w:pPr>
              <w:widowControl w:val="0"/>
              <w:pBdr>
                <w:top w:val="nil"/>
                <w:left w:val="nil"/>
                <w:bottom w:val="nil"/>
                <w:right w:val="nil"/>
                <w:between w:val="nil"/>
              </w:pBdr>
              <w:spacing w:line="240" w:lineRule="auto"/>
              <w:jc w:val="left"/>
            </w:pPr>
            <w:r>
              <w:t>5</w:t>
            </w:r>
          </w:p>
        </w:tc>
        <w:tc>
          <w:tcPr>
            <w:tcW w:w="2402" w:type="dxa"/>
            <w:tcMar>
              <w:top w:w="100" w:type="dxa"/>
              <w:left w:w="100" w:type="dxa"/>
              <w:bottom w:w="100" w:type="dxa"/>
              <w:right w:w="100" w:type="dxa"/>
            </w:tcMar>
          </w:tcPr>
          <w:p w14:paraId="1D7C3BDE" w14:textId="0CEA5602"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42116D6B"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319F7D6F" w14:textId="77777777" w:rsidR="008625D5" w:rsidRDefault="008625D5" w:rsidP="000B7F9D">
            <w:pPr>
              <w:widowControl w:val="0"/>
              <w:pBdr>
                <w:top w:val="nil"/>
                <w:left w:val="nil"/>
                <w:bottom w:val="nil"/>
                <w:right w:val="nil"/>
                <w:between w:val="nil"/>
              </w:pBdr>
              <w:spacing w:line="240" w:lineRule="auto"/>
              <w:jc w:val="left"/>
            </w:pPr>
          </w:p>
        </w:tc>
      </w:tr>
      <w:tr w:rsidR="008625D5" w14:paraId="75554092" w14:textId="77777777" w:rsidTr="0072096F">
        <w:tc>
          <w:tcPr>
            <w:tcW w:w="1228" w:type="dxa"/>
            <w:tcMar>
              <w:top w:w="100" w:type="dxa"/>
              <w:left w:w="100" w:type="dxa"/>
              <w:bottom w:w="100" w:type="dxa"/>
              <w:right w:w="100" w:type="dxa"/>
            </w:tcMar>
          </w:tcPr>
          <w:p w14:paraId="4D7F9042" w14:textId="77777777" w:rsidR="008625D5" w:rsidRDefault="008625D5" w:rsidP="000B7F9D">
            <w:pPr>
              <w:widowControl w:val="0"/>
              <w:pBdr>
                <w:top w:val="nil"/>
                <w:left w:val="nil"/>
                <w:bottom w:val="nil"/>
                <w:right w:val="nil"/>
                <w:between w:val="nil"/>
              </w:pBdr>
              <w:spacing w:line="240" w:lineRule="auto"/>
              <w:jc w:val="left"/>
            </w:pPr>
            <w:r>
              <w:t>06_BP</w:t>
            </w:r>
          </w:p>
        </w:tc>
        <w:tc>
          <w:tcPr>
            <w:tcW w:w="495" w:type="dxa"/>
          </w:tcPr>
          <w:p w14:paraId="6B2320CD" w14:textId="3E1C3647" w:rsidR="008625D5" w:rsidRDefault="007403E3" w:rsidP="000B7F9D">
            <w:pPr>
              <w:widowControl w:val="0"/>
              <w:pBdr>
                <w:top w:val="nil"/>
                <w:left w:val="nil"/>
                <w:bottom w:val="nil"/>
                <w:right w:val="nil"/>
                <w:between w:val="nil"/>
              </w:pBdr>
              <w:spacing w:line="240" w:lineRule="auto"/>
              <w:jc w:val="left"/>
            </w:pPr>
            <w:r>
              <w:t>6</w:t>
            </w:r>
          </w:p>
        </w:tc>
        <w:tc>
          <w:tcPr>
            <w:tcW w:w="2402" w:type="dxa"/>
            <w:tcMar>
              <w:top w:w="100" w:type="dxa"/>
              <w:left w:w="100" w:type="dxa"/>
              <w:bottom w:w="100" w:type="dxa"/>
              <w:right w:w="100" w:type="dxa"/>
            </w:tcMar>
          </w:tcPr>
          <w:p w14:paraId="31CE0AD2" w14:textId="2C2D9112"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4881E1C5"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39BF2758" w14:textId="77777777" w:rsidR="008625D5" w:rsidRDefault="008625D5" w:rsidP="000B7F9D">
            <w:pPr>
              <w:widowControl w:val="0"/>
              <w:pBdr>
                <w:top w:val="nil"/>
                <w:left w:val="nil"/>
                <w:bottom w:val="nil"/>
                <w:right w:val="nil"/>
                <w:between w:val="nil"/>
              </w:pBdr>
              <w:spacing w:line="240" w:lineRule="auto"/>
              <w:jc w:val="left"/>
            </w:pPr>
          </w:p>
        </w:tc>
      </w:tr>
      <w:tr w:rsidR="008625D5" w14:paraId="6DC0F4F8" w14:textId="77777777" w:rsidTr="0072096F">
        <w:tc>
          <w:tcPr>
            <w:tcW w:w="1228" w:type="dxa"/>
            <w:tcMar>
              <w:top w:w="100" w:type="dxa"/>
              <w:left w:w="100" w:type="dxa"/>
              <w:bottom w:w="100" w:type="dxa"/>
              <w:right w:w="100" w:type="dxa"/>
            </w:tcMar>
          </w:tcPr>
          <w:p w14:paraId="629B0691" w14:textId="77777777" w:rsidR="008625D5" w:rsidRDefault="008625D5" w:rsidP="000B7F9D">
            <w:pPr>
              <w:widowControl w:val="0"/>
              <w:pBdr>
                <w:top w:val="nil"/>
                <w:left w:val="nil"/>
                <w:bottom w:val="nil"/>
                <w:right w:val="nil"/>
                <w:between w:val="nil"/>
              </w:pBdr>
              <w:spacing w:line="240" w:lineRule="auto"/>
              <w:jc w:val="left"/>
            </w:pPr>
            <w:r>
              <w:t>07_NP</w:t>
            </w:r>
          </w:p>
        </w:tc>
        <w:tc>
          <w:tcPr>
            <w:tcW w:w="495" w:type="dxa"/>
          </w:tcPr>
          <w:p w14:paraId="174510A5" w14:textId="5B5B28E5" w:rsidR="008625D5" w:rsidRDefault="007403E3" w:rsidP="000B7F9D">
            <w:pPr>
              <w:widowControl w:val="0"/>
              <w:pBdr>
                <w:top w:val="nil"/>
                <w:left w:val="nil"/>
                <w:bottom w:val="nil"/>
                <w:right w:val="nil"/>
                <w:between w:val="nil"/>
              </w:pBdr>
              <w:spacing w:line="240" w:lineRule="auto"/>
              <w:jc w:val="left"/>
            </w:pPr>
            <w:r>
              <w:t>7</w:t>
            </w:r>
          </w:p>
        </w:tc>
        <w:tc>
          <w:tcPr>
            <w:tcW w:w="2402" w:type="dxa"/>
            <w:tcMar>
              <w:top w:w="100" w:type="dxa"/>
              <w:left w:w="100" w:type="dxa"/>
              <w:bottom w:w="100" w:type="dxa"/>
              <w:right w:w="100" w:type="dxa"/>
            </w:tcMar>
          </w:tcPr>
          <w:p w14:paraId="7057C74F" w14:textId="0FE31FBB"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72860B58"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1B6E33AB" w14:textId="77777777" w:rsidR="008625D5" w:rsidRDefault="008625D5" w:rsidP="000B7F9D">
            <w:pPr>
              <w:widowControl w:val="0"/>
              <w:pBdr>
                <w:top w:val="nil"/>
                <w:left w:val="nil"/>
                <w:bottom w:val="nil"/>
                <w:right w:val="nil"/>
                <w:between w:val="nil"/>
              </w:pBdr>
              <w:spacing w:line="240" w:lineRule="auto"/>
              <w:jc w:val="left"/>
            </w:pPr>
          </w:p>
        </w:tc>
      </w:tr>
      <w:tr w:rsidR="008625D5" w14:paraId="19A15020" w14:textId="77777777" w:rsidTr="0072096F">
        <w:tc>
          <w:tcPr>
            <w:tcW w:w="1228" w:type="dxa"/>
            <w:tcMar>
              <w:top w:w="100" w:type="dxa"/>
              <w:left w:w="100" w:type="dxa"/>
              <w:bottom w:w="100" w:type="dxa"/>
              <w:right w:w="100" w:type="dxa"/>
            </w:tcMar>
          </w:tcPr>
          <w:p w14:paraId="1E82C3BC" w14:textId="77777777" w:rsidR="008625D5" w:rsidRDefault="008625D5" w:rsidP="000B7F9D">
            <w:pPr>
              <w:widowControl w:val="0"/>
              <w:pBdr>
                <w:top w:val="nil"/>
                <w:left w:val="nil"/>
                <w:bottom w:val="nil"/>
                <w:right w:val="nil"/>
                <w:between w:val="nil"/>
              </w:pBdr>
              <w:spacing w:line="240" w:lineRule="auto"/>
              <w:jc w:val="left"/>
            </w:pPr>
            <w:r>
              <w:t>08_SP</w:t>
            </w:r>
          </w:p>
        </w:tc>
        <w:tc>
          <w:tcPr>
            <w:tcW w:w="495" w:type="dxa"/>
          </w:tcPr>
          <w:p w14:paraId="7877C50C" w14:textId="533CB0A2" w:rsidR="008625D5" w:rsidRDefault="007403E3" w:rsidP="000B7F9D">
            <w:pPr>
              <w:widowControl w:val="0"/>
              <w:pBdr>
                <w:top w:val="nil"/>
                <w:left w:val="nil"/>
                <w:bottom w:val="nil"/>
                <w:right w:val="nil"/>
                <w:between w:val="nil"/>
              </w:pBdr>
              <w:spacing w:line="240" w:lineRule="auto"/>
              <w:jc w:val="left"/>
            </w:pPr>
            <w:r>
              <w:t>8</w:t>
            </w:r>
          </w:p>
        </w:tc>
        <w:tc>
          <w:tcPr>
            <w:tcW w:w="2402" w:type="dxa"/>
            <w:tcMar>
              <w:top w:w="100" w:type="dxa"/>
              <w:left w:w="100" w:type="dxa"/>
              <w:bottom w:w="100" w:type="dxa"/>
              <w:right w:w="100" w:type="dxa"/>
            </w:tcMar>
          </w:tcPr>
          <w:p w14:paraId="199BBDAB" w14:textId="20BFC866"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06C80FB5"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440F4A47" w14:textId="77777777" w:rsidR="008625D5" w:rsidRDefault="008625D5" w:rsidP="000B7F9D">
            <w:pPr>
              <w:widowControl w:val="0"/>
              <w:pBdr>
                <w:top w:val="nil"/>
                <w:left w:val="nil"/>
                <w:bottom w:val="nil"/>
                <w:right w:val="nil"/>
                <w:between w:val="nil"/>
              </w:pBdr>
              <w:spacing w:line="240" w:lineRule="auto"/>
              <w:jc w:val="left"/>
            </w:pPr>
          </w:p>
        </w:tc>
      </w:tr>
      <w:tr w:rsidR="008625D5" w14:paraId="316B3C38" w14:textId="77777777" w:rsidTr="0072096F">
        <w:tc>
          <w:tcPr>
            <w:tcW w:w="1228" w:type="dxa"/>
            <w:tcMar>
              <w:top w:w="100" w:type="dxa"/>
              <w:left w:w="100" w:type="dxa"/>
              <w:bottom w:w="100" w:type="dxa"/>
              <w:right w:w="100" w:type="dxa"/>
            </w:tcMar>
          </w:tcPr>
          <w:p w14:paraId="5C8B964B" w14:textId="77777777" w:rsidR="008625D5" w:rsidRDefault="008625D5" w:rsidP="000B7F9D">
            <w:pPr>
              <w:widowControl w:val="0"/>
              <w:pBdr>
                <w:top w:val="nil"/>
                <w:left w:val="nil"/>
                <w:bottom w:val="nil"/>
                <w:right w:val="nil"/>
                <w:between w:val="nil"/>
              </w:pBdr>
              <w:spacing w:line="240" w:lineRule="auto"/>
              <w:jc w:val="left"/>
            </w:pPr>
            <w:r>
              <w:t>09_BP</w:t>
            </w:r>
          </w:p>
        </w:tc>
        <w:tc>
          <w:tcPr>
            <w:tcW w:w="495" w:type="dxa"/>
          </w:tcPr>
          <w:p w14:paraId="6EE177DF" w14:textId="5A510FB7" w:rsidR="008625D5" w:rsidRDefault="007403E3" w:rsidP="000B7F9D">
            <w:pPr>
              <w:widowControl w:val="0"/>
              <w:pBdr>
                <w:top w:val="nil"/>
                <w:left w:val="nil"/>
                <w:bottom w:val="nil"/>
                <w:right w:val="nil"/>
                <w:between w:val="nil"/>
              </w:pBdr>
              <w:spacing w:line="240" w:lineRule="auto"/>
              <w:jc w:val="left"/>
            </w:pPr>
            <w:r>
              <w:t>9</w:t>
            </w:r>
          </w:p>
        </w:tc>
        <w:tc>
          <w:tcPr>
            <w:tcW w:w="2402" w:type="dxa"/>
            <w:tcMar>
              <w:top w:w="100" w:type="dxa"/>
              <w:left w:w="100" w:type="dxa"/>
              <w:bottom w:w="100" w:type="dxa"/>
              <w:right w:w="100" w:type="dxa"/>
            </w:tcMar>
          </w:tcPr>
          <w:p w14:paraId="72119DB3" w14:textId="3C85AA42"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28DBCFCB"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13BF6AA7" w14:textId="77777777" w:rsidR="008625D5" w:rsidRDefault="008625D5" w:rsidP="000B7F9D">
            <w:pPr>
              <w:widowControl w:val="0"/>
              <w:pBdr>
                <w:top w:val="nil"/>
                <w:left w:val="nil"/>
                <w:bottom w:val="nil"/>
                <w:right w:val="nil"/>
                <w:between w:val="nil"/>
              </w:pBdr>
              <w:spacing w:line="240" w:lineRule="auto"/>
              <w:jc w:val="left"/>
            </w:pPr>
          </w:p>
        </w:tc>
      </w:tr>
      <w:tr w:rsidR="008625D5" w14:paraId="48E6E5F2" w14:textId="77777777" w:rsidTr="0072096F">
        <w:tc>
          <w:tcPr>
            <w:tcW w:w="1228" w:type="dxa"/>
            <w:tcMar>
              <w:top w:w="100" w:type="dxa"/>
              <w:left w:w="100" w:type="dxa"/>
              <w:bottom w:w="100" w:type="dxa"/>
              <w:right w:w="100" w:type="dxa"/>
            </w:tcMar>
          </w:tcPr>
          <w:p w14:paraId="79F208FB" w14:textId="77777777" w:rsidR="008625D5" w:rsidRDefault="008625D5" w:rsidP="000B7F9D">
            <w:pPr>
              <w:widowControl w:val="0"/>
              <w:pBdr>
                <w:top w:val="nil"/>
                <w:left w:val="nil"/>
                <w:bottom w:val="nil"/>
                <w:right w:val="nil"/>
                <w:between w:val="nil"/>
              </w:pBdr>
              <w:spacing w:line="240" w:lineRule="auto"/>
              <w:jc w:val="left"/>
            </w:pPr>
            <w:r>
              <w:t>10_BP</w:t>
            </w:r>
          </w:p>
        </w:tc>
        <w:tc>
          <w:tcPr>
            <w:tcW w:w="495" w:type="dxa"/>
          </w:tcPr>
          <w:p w14:paraId="1CE19237" w14:textId="6848F444" w:rsidR="008625D5" w:rsidRDefault="007403E3" w:rsidP="000B7F9D">
            <w:pPr>
              <w:widowControl w:val="0"/>
              <w:pBdr>
                <w:top w:val="nil"/>
                <w:left w:val="nil"/>
                <w:bottom w:val="nil"/>
                <w:right w:val="nil"/>
                <w:between w:val="nil"/>
              </w:pBdr>
              <w:spacing w:line="240" w:lineRule="auto"/>
              <w:jc w:val="left"/>
            </w:pPr>
            <w:r>
              <w:t>10</w:t>
            </w:r>
          </w:p>
        </w:tc>
        <w:tc>
          <w:tcPr>
            <w:tcW w:w="2402" w:type="dxa"/>
            <w:tcMar>
              <w:top w:w="100" w:type="dxa"/>
              <w:left w:w="100" w:type="dxa"/>
              <w:bottom w:w="100" w:type="dxa"/>
              <w:right w:w="100" w:type="dxa"/>
            </w:tcMar>
          </w:tcPr>
          <w:p w14:paraId="554F80D0" w14:textId="7419CD30"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660DA0AC"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33D9E304" w14:textId="77777777" w:rsidR="008625D5" w:rsidRDefault="008625D5" w:rsidP="000B7F9D">
            <w:pPr>
              <w:widowControl w:val="0"/>
              <w:pBdr>
                <w:top w:val="nil"/>
                <w:left w:val="nil"/>
                <w:bottom w:val="nil"/>
                <w:right w:val="nil"/>
                <w:between w:val="nil"/>
              </w:pBdr>
              <w:spacing w:line="240" w:lineRule="auto"/>
              <w:jc w:val="left"/>
            </w:pPr>
          </w:p>
        </w:tc>
      </w:tr>
      <w:tr w:rsidR="008625D5" w14:paraId="5200C7DD" w14:textId="77777777" w:rsidTr="0072096F">
        <w:tc>
          <w:tcPr>
            <w:tcW w:w="1228" w:type="dxa"/>
            <w:tcMar>
              <w:top w:w="100" w:type="dxa"/>
              <w:left w:w="100" w:type="dxa"/>
              <w:bottom w:w="100" w:type="dxa"/>
              <w:right w:w="100" w:type="dxa"/>
            </w:tcMar>
          </w:tcPr>
          <w:p w14:paraId="5D10586B" w14:textId="77777777" w:rsidR="008625D5" w:rsidRDefault="008625D5" w:rsidP="000B7F9D">
            <w:pPr>
              <w:widowControl w:val="0"/>
              <w:pBdr>
                <w:top w:val="nil"/>
                <w:left w:val="nil"/>
                <w:bottom w:val="nil"/>
                <w:right w:val="nil"/>
                <w:between w:val="nil"/>
              </w:pBdr>
              <w:spacing w:line="240" w:lineRule="auto"/>
              <w:jc w:val="left"/>
            </w:pPr>
            <w:r>
              <w:t>11_BP</w:t>
            </w:r>
          </w:p>
        </w:tc>
        <w:tc>
          <w:tcPr>
            <w:tcW w:w="495" w:type="dxa"/>
          </w:tcPr>
          <w:p w14:paraId="1932A880" w14:textId="2AAF3668" w:rsidR="008625D5" w:rsidRDefault="007403E3" w:rsidP="000B7F9D">
            <w:pPr>
              <w:widowControl w:val="0"/>
              <w:pBdr>
                <w:top w:val="nil"/>
                <w:left w:val="nil"/>
                <w:bottom w:val="nil"/>
                <w:right w:val="nil"/>
                <w:between w:val="nil"/>
              </w:pBdr>
              <w:spacing w:line="240" w:lineRule="auto"/>
              <w:jc w:val="left"/>
            </w:pPr>
            <w:r>
              <w:t>11</w:t>
            </w:r>
          </w:p>
        </w:tc>
        <w:tc>
          <w:tcPr>
            <w:tcW w:w="2402" w:type="dxa"/>
            <w:tcMar>
              <w:top w:w="100" w:type="dxa"/>
              <w:left w:w="100" w:type="dxa"/>
              <w:bottom w:w="100" w:type="dxa"/>
              <w:right w:w="100" w:type="dxa"/>
            </w:tcMar>
          </w:tcPr>
          <w:p w14:paraId="571CE31A" w14:textId="4429F898"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0A413B4F"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038CF788" w14:textId="77777777" w:rsidR="008625D5" w:rsidRDefault="008625D5" w:rsidP="000B7F9D">
            <w:pPr>
              <w:widowControl w:val="0"/>
              <w:pBdr>
                <w:top w:val="nil"/>
                <w:left w:val="nil"/>
                <w:bottom w:val="nil"/>
                <w:right w:val="nil"/>
                <w:between w:val="nil"/>
              </w:pBdr>
              <w:spacing w:line="240" w:lineRule="auto"/>
              <w:jc w:val="left"/>
            </w:pPr>
          </w:p>
        </w:tc>
      </w:tr>
      <w:tr w:rsidR="008625D5" w14:paraId="4F16E28A" w14:textId="77777777" w:rsidTr="0072096F">
        <w:tc>
          <w:tcPr>
            <w:tcW w:w="1228" w:type="dxa"/>
            <w:tcMar>
              <w:top w:w="100" w:type="dxa"/>
              <w:left w:w="100" w:type="dxa"/>
              <w:bottom w:w="100" w:type="dxa"/>
              <w:right w:w="100" w:type="dxa"/>
            </w:tcMar>
          </w:tcPr>
          <w:p w14:paraId="0300509E" w14:textId="77777777" w:rsidR="008625D5" w:rsidRDefault="008625D5" w:rsidP="000B7F9D">
            <w:pPr>
              <w:widowControl w:val="0"/>
              <w:pBdr>
                <w:top w:val="nil"/>
                <w:left w:val="nil"/>
                <w:bottom w:val="nil"/>
                <w:right w:val="nil"/>
                <w:between w:val="nil"/>
              </w:pBdr>
              <w:spacing w:line="240" w:lineRule="auto"/>
              <w:jc w:val="left"/>
            </w:pPr>
            <w:r>
              <w:t>12_SP</w:t>
            </w:r>
          </w:p>
        </w:tc>
        <w:tc>
          <w:tcPr>
            <w:tcW w:w="495" w:type="dxa"/>
          </w:tcPr>
          <w:p w14:paraId="73B88065" w14:textId="5334B786" w:rsidR="008625D5" w:rsidRDefault="007403E3" w:rsidP="000B7F9D">
            <w:pPr>
              <w:widowControl w:val="0"/>
              <w:pBdr>
                <w:top w:val="nil"/>
                <w:left w:val="nil"/>
                <w:bottom w:val="nil"/>
                <w:right w:val="nil"/>
                <w:between w:val="nil"/>
              </w:pBdr>
              <w:spacing w:line="240" w:lineRule="auto"/>
              <w:jc w:val="left"/>
            </w:pPr>
            <w:r>
              <w:t>12</w:t>
            </w:r>
          </w:p>
        </w:tc>
        <w:tc>
          <w:tcPr>
            <w:tcW w:w="2402" w:type="dxa"/>
            <w:tcMar>
              <w:top w:w="100" w:type="dxa"/>
              <w:left w:w="100" w:type="dxa"/>
              <w:bottom w:w="100" w:type="dxa"/>
              <w:right w:w="100" w:type="dxa"/>
            </w:tcMar>
          </w:tcPr>
          <w:p w14:paraId="3E215D05" w14:textId="573A5415"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20FA5553"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3EA806BA" w14:textId="77777777" w:rsidR="008625D5" w:rsidRDefault="008625D5" w:rsidP="000B7F9D">
            <w:pPr>
              <w:widowControl w:val="0"/>
              <w:pBdr>
                <w:top w:val="nil"/>
                <w:left w:val="nil"/>
                <w:bottom w:val="nil"/>
                <w:right w:val="nil"/>
                <w:between w:val="nil"/>
              </w:pBdr>
              <w:spacing w:line="240" w:lineRule="auto"/>
              <w:jc w:val="left"/>
            </w:pPr>
          </w:p>
        </w:tc>
      </w:tr>
      <w:tr w:rsidR="008625D5" w14:paraId="77E8504A" w14:textId="77777777" w:rsidTr="0072096F">
        <w:tc>
          <w:tcPr>
            <w:tcW w:w="1228" w:type="dxa"/>
            <w:tcMar>
              <w:top w:w="100" w:type="dxa"/>
              <w:left w:w="100" w:type="dxa"/>
              <w:bottom w:w="100" w:type="dxa"/>
              <w:right w:w="100" w:type="dxa"/>
            </w:tcMar>
          </w:tcPr>
          <w:p w14:paraId="3BFDA139" w14:textId="77777777" w:rsidR="008625D5" w:rsidRDefault="008625D5" w:rsidP="000B7F9D">
            <w:pPr>
              <w:widowControl w:val="0"/>
              <w:pBdr>
                <w:top w:val="nil"/>
                <w:left w:val="nil"/>
                <w:bottom w:val="nil"/>
                <w:right w:val="nil"/>
                <w:between w:val="nil"/>
              </w:pBdr>
              <w:spacing w:line="240" w:lineRule="auto"/>
              <w:jc w:val="left"/>
            </w:pPr>
            <w:r>
              <w:t>13_SP</w:t>
            </w:r>
          </w:p>
        </w:tc>
        <w:tc>
          <w:tcPr>
            <w:tcW w:w="495" w:type="dxa"/>
          </w:tcPr>
          <w:p w14:paraId="2060D76E" w14:textId="20ECF05F" w:rsidR="008625D5" w:rsidRDefault="007403E3" w:rsidP="000B7F9D">
            <w:pPr>
              <w:widowControl w:val="0"/>
              <w:pBdr>
                <w:top w:val="nil"/>
                <w:left w:val="nil"/>
                <w:bottom w:val="nil"/>
                <w:right w:val="nil"/>
                <w:between w:val="nil"/>
              </w:pBdr>
              <w:spacing w:line="240" w:lineRule="auto"/>
              <w:jc w:val="left"/>
            </w:pPr>
            <w:r>
              <w:t>13</w:t>
            </w:r>
          </w:p>
        </w:tc>
        <w:tc>
          <w:tcPr>
            <w:tcW w:w="2402" w:type="dxa"/>
            <w:tcMar>
              <w:top w:w="100" w:type="dxa"/>
              <w:left w:w="100" w:type="dxa"/>
              <w:bottom w:w="100" w:type="dxa"/>
              <w:right w:w="100" w:type="dxa"/>
            </w:tcMar>
          </w:tcPr>
          <w:p w14:paraId="0C1EE06D" w14:textId="342F9481"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17946B79"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33EBCB70" w14:textId="77777777" w:rsidR="008625D5" w:rsidRDefault="008625D5" w:rsidP="000B7F9D">
            <w:pPr>
              <w:widowControl w:val="0"/>
              <w:pBdr>
                <w:top w:val="nil"/>
                <w:left w:val="nil"/>
                <w:bottom w:val="nil"/>
                <w:right w:val="nil"/>
                <w:between w:val="nil"/>
              </w:pBdr>
              <w:spacing w:line="240" w:lineRule="auto"/>
              <w:jc w:val="left"/>
            </w:pPr>
          </w:p>
        </w:tc>
      </w:tr>
      <w:tr w:rsidR="008625D5" w14:paraId="0BFF4695" w14:textId="77777777" w:rsidTr="0072096F">
        <w:tc>
          <w:tcPr>
            <w:tcW w:w="1228" w:type="dxa"/>
            <w:tcMar>
              <w:top w:w="100" w:type="dxa"/>
              <w:left w:w="100" w:type="dxa"/>
              <w:bottom w:w="100" w:type="dxa"/>
              <w:right w:w="100" w:type="dxa"/>
            </w:tcMar>
          </w:tcPr>
          <w:p w14:paraId="265D2776" w14:textId="77777777" w:rsidR="008625D5" w:rsidRDefault="008625D5" w:rsidP="000B7F9D">
            <w:pPr>
              <w:widowControl w:val="0"/>
              <w:pBdr>
                <w:top w:val="nil"/>
                <w:left w:val="nil"/>
                <w:bottom w:val="nil"/>
                <w:right w:val="nil"/>
                <w:between w:val="nil"/>
              </w:pBdr>
              <w:spacing w:line="240" w:lineRule="auto"/>
              <w:jc w:val="left"/>
            </w:pPr>
            <w:r>
              <w:t>14_BP</w:t>
            </w:r>
          </w:p>
        </w:tc>
        <w:tc>
          <w:tcPr>
            <w:tcW w:w="495" w:type="dxa"/>
          </w:tcPr>
          <w:p w14:paraId="34EEA556" w14:textId="4D37A15B" w:rsidR="008625D5" w:rsidRDefault="007403E3" w:rsidP="000B7F9D">
            <w:pPr>
              <w:widowControl w:val="0"/>
              <w:pBdr>
                <w:top w:val="nil"/>
                <w:left w:val="nil"/>
                <w:bottom w:val="nil"/>
                <w:right w:val="nil"/>
                <w:between w:val="nil"/>
              </w:pBdr>
              <w:spacing w:line="240" w:lineRule="auto"/>
              <w:jc w:val="left"/>
            </w:pPr>
            <w:r>
              <w:t>14</w:t>
            </w:r>
          </w:p>
        </w:tc>
        <w:tc>
          <w:tcPr>
            <w:tcW w:w="2402" w:type="dxa"/>
            <w:tcMar>
              <w:top w:w="100" w:type="dxa"/>
              <w:left w:w="100" w:type="dxa"/>
              <w:bottom w:w="100" w:type="dxa"/>
              <w:right w:w="100" w:type="dxa"/>
            </w:tcMar>
          </w:tcPr>
          <w:p w14:paraId="5EBFA804" w14:textId="7F888F4E"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799D8C99"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2C27C00C" w14:textId="77777777" w:rsidR="008625D5" w:rsidRDefault="008625D5" w:rsidP="000B7F9D">
            <w:pPr>
              <w:widowControl w:val="0"/>
              <w:pBdr>
                <w:top w:val="nil"/>
                <w:left w:val="nil"/>
                <w:bottom w:val="nil"/>
                <w:right w:val="nil"/>
                <w:between w:val="nil"/>
              </w:pBdr>
              <w:spacing w:line="240" w:lineRule="auto"/>
              <w:jc w:val="left"/>
            </w:pPr>
          </w:p>
        </w:tc>
      </w:tr>
      <w:tr w:rsidR="008625D5" w14:paraId="18F2BBB4" w14:textId="77777777" w:rsidTr="0072096F">
        <w:tc>
          <w:tcPr>
            <w:tcW w:w="1228" w:type="dxa"/>
            <w:tcMar>
              <w:top w:w="100" w:type="dxa"/>
              <w:left w:w="100" w:type="dxa"/>
              <w:bottom w:w="100" w:type="dxa"/>
              <w:right w:w="100" w:type="dxa"/>
            </w:tcMar>
          </w:tcPr>
          <w:p w14:paraId="5B437AC6" w14:textId="77777777" w:rsidR="008625D5" w:rsidRDefault="008625D5" w:rsidP="000B7F9D">
            <w:pPr>
              <w:widowControl w:val="0"/>
              <w:pBdr>
                <w:top w:val="nil"/>
                <w:left w:val="nil"/>
                <w:bottom w:val="nil"/>
                <w:right w:val="nil"/>
                <w:between w:val="nil"/>
              </w:pBdr>
              <w:spacing w:line="240" w:lineRule="auto"/>
              <w:jc w:val="left"/>
            </w:pPr>
            <w:r>
              <w:t>15_D</w:t>
            </w:r>
          </w:p>
        </w:tc>
        <w:tc>
          <w:tcPr>
            <w:tcW w:w="495" w:type="dxa"/>
          </w:tcPr>
          <w:p w14:paraId="2394D96C" w14:textId="3217515E" w:rsidR="008625D5" w:rsidRDefault="007403E3" w:rsidP="000B7F9D">
            <w:pPr>
              <w:widowControl w:val="0"/>
              <w:pBdr>
                <w:top w:val="nil"/>
                <w:left w:val="nil"/>
                <w:bottom w:val="nil"/>
                <w:right w:val="nil"/>
                <w:between w:val="nil"/>
              </w:pBdr>
              <w:spacing w:line="240" w:lineRule="auto"/>
              <w:jc w:val="left"/>
            </w:pPr>
            <w:r>
              <w:t>15</w:t>
            </w:r>
          </w:p>
        </w:tc>
        <w:tc>
          <w:tcPr>
            <w:tcW w:w="2402" w:type="dxa"/>
            <w:tcMar>
              <w:top w:w="100" w:type="dxa"/>
              <w:left w:w="100" w:type="dxa"/>
              <w:bottom w:w="100" w:type="dxa"/>
              <w:right w:w="100" w:type="dxa"/>
            </w:tcMar>
          </w:tcPr>
          <w:p w14:paraId="46C9E40F" w14:textId="4EC62C0D"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4A3EDD07"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68B23D9E" w14:textId="77777777" w:rsidR="008625D5" w:rsidRDefault="008625D5" w:rsidP="000B7F9D">
            <w:pPr>
              <w:widowControl w:val="0"/>
              <w:pBdr>
                <w:top w:val="nil"/>
                <w:left w:val="nil"/>
                <w:bottom w:val="nil"/>
                <w:right w:val="nil"/>
                <w:between w:val="nil"/>
              </w:pBdr>
              <w:spacing w:line="240" w:lineRule="auto"/>
              <w:jc w:val="left"/>
            </w:pPr>
          </w:p>
        </w:tc>
      </w:tr>
      <w:tr w:rsidR="008625D5" w14:paraId="3B09E62A" w14:textId="77777777" w:rsidTr="0072096F">
        <w:tc>
          <w:tcPr>
            <w:tcW w:w="1228" w:type="dxa"/>
            <w:tcMar>
              <w:top w:w="100" w:type="dxa"/>
              <w:left w:w="100" w:type="dxa"/>
              <w:bottom w:w="100" w:type="dxa"/>
              <w:right w:w="100" w:type="dxa"/>
            </w:tcMar>
          </w:tcPr>
          <w:p w14:paraId="3317B20C" w14:textId="77777777" w:rsidR="008625D5" w:rsidRDefault="008625D5" w:rsidP="000B7F9D">
            <w:pPr>
              <w:widowControl w:val="0"/>
              <w:pBdr>
                <w:top w:val="nil"/>
                <w:left w:val="nil"/>
                <w:bottom w:val="nil"/>
                <w:right w:val="nil"/>
                <w:between w:val="nil"/>
              </w:pBdr>
              <w:spacing w:line="240" w:lineRule="auto"/>
              <w:jc w:val="left"/>
            </w:pPr>
            <w:r>
              <w:t>16_LT</w:t>
            </w:r>
          </w:p>
        </w:tc>
        <w:tc>
          <w:tcPr>
            <w:tcW w:w="495" w:type="dxa"/>
          </w:tcPr>
          <w:p w14:paraId="36DB465C" w14:textId="6CEA6F15" w:rsidR="008625D5" w:rsidRDefault="007403E3" w:rsidP="000B7F9D">
            <w:pPr>
              <w:widowControl w:val="0"/>
              <w:pBdr>
                <w:top w:val="nil"/>
                <w:left w:val="nil"/>
                <w:bottom w:val="nil"/>
                <w:right w:val="nil"/>
                <w:between w:val="nil"/>
              </w:pBdr>
              <w:spacing w:line="240" w:lineRule="auto"/>
              <w:jc w:val="left"/>
            </w:pPr>
            <w:r>
              <w:t>16</w:t>
            </w:r>
          </w:p>
        </w:tc>
        <w:tc>
          <w:tcPr>
            <w:tcW w:w="2402" w:type="dxa"/>
            <w:tcMar>
              <w:top w:w="100" w:type="dxa"/>
              <w:left w:w="100" w:type="dxa"/>
              <w:bottom w:w="100" w:type="dxa"/>
              <w:right w:w="100" w:type="dxa"/>
            </w:tcMar>
          </w:tcPr>
          <w:p w14:paraId="2F163F0B" w14:textId="39882409"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037D43D2"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779F72F4" w14:textId="77777777" w:rsidR="008625D5" w:rsidRDefault="008625D5" w:rsidP="000B7F9D">
            <w:pPr>
              <w:widowControl w:val="0"/>
              <w:pBdr>
                <w:top w:val="nil"/>
                <w:left w:val="nil"/>
                <w:bottom w:val="nil"/>
                <w:right w:val="nil"/>
                <w:between w:val="nil"/>
              </w:pBdr>
              <w:spacing w:line="240" w:lineRule="auto"/>
              <w:jc w:val="left"/>
            </w:pPr>
          </w:p>
        </w:tc>
      </w:tr>
      <w:tr w:rsidR="008625D5" w14:paraId="2900842B" w14:textId="77777777" w:rsidTr="0072096F">
        <w:tc>
          <w:tcPr>
            <w:tcW w:w="1228" w:type="dxa"/>
            <w:tcMar>
              <w:top w:w="100" w:type="dxa"/>
              <w:left w:w="100" w:type="dxa"/>
              <w:bottom w:w="100" w:type="dxa"/>
              <w:right w:w="100" w:type="dxa"/>
            </w:tcMar>
          </w:tcPr>
          <w:p w14:paraId="05CFA5EA" w14:textId="77777777" w:rsidR="008625D5" w:rsidRDefault="008625D5" w:rsidP="000B7F9D">
            <w:pPr>
              <w:widowControl w:val="0"/>
              <w:pBdr>
                <w:top w:val="nil"/>
                <w:left w:val="nil"/>
                <w:bottom w:val="nil"/>
                <w:right w:val="nil"/>
                <w:between w:val="nil"/>
              </w:pBdr>
              <w:spacing w:line="240" w:lineRule="auto"/>
              <w:jc w:val="left"/>
            </w:pPr>
            <w:r>
              <w:t>17_LT</w:t>
            </w:r>
          </w:p>
        </w:tc>
        <w:tc>
          <w:tcPr>
            <w:tcW w:w="495" w:type="dxa"/>
          </w:tcPr>
          <w:p w14:paraId="722D36DD" w14:textId="3A0E88DB" w:rsidR="008625D5" w:rsidRDefault="007403E3" w:rsidP="000B7F9D">
            <w:pPr>
              <w:widowControl w:val="0"/>
              <w:pBdr>
                <w:top w:val="nil"/>
                <w:left w:val="nil"/>
                <w:bottom w:val="nil"/>
                <w:right w:val="nil"/>
                <w:between w:val="nil"/>
              </w:pBdr>
              <w:spacing w:line="240" w:lineRule="auto"/>
              <w:jc w:val="left"/>
            </w:pPr>
            <w:r>
              <w:t>17</w:t>
            </w:r>
          </w:p>
        </w:tc>
        <w:tc>
          <w:tcPr>
            <w:tcW w:w="2402" w:type="dxa"/>
            <w:tcMar>
              <w:top w:w="100" w:type="dxa"/>
              <w:left w:w="100" w:type="dxa"/>
              <w:bottom w:w="100" w:type="dxa"/>
              <w:right w:w="100" w:type="dxa"/>
            </w:tcMar>
          </w:tcPr>
          <w:p w14:paraId="0A1CAE85" w14:textId="031C5D20"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095FD3C0"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3C4B1F67" w14:textId="77777777" w:rsidR="008625D5" w:rsidRDefault="008625D5" w:rsidP="000B7F9D">
            <w:pPr>
              <w:widowControl w:val="0"/>
              <w:pBdr>
                <w:top w:val="nil"/>
                <w:left w:val="nil"/>
                <w:bottom w:val="nil"/>
                <w:right w:val="nil"/>
                <w:between w:val="nil"/>
              </w:pBdr>
              <w:spacing w:line="240" w:lineRule="auto"/>
              <w:jc w:val="left"/>
            </w:pPr>
          </w:p>
        </w:tc>
      </w:tr>
      <w:tr w:rsidR="008625D5" w14:paraId="45960C36" w14:textId="77777777" w:rsidTr="0072096F">
        <w:tc>
          <w:tcPr>
            <w:tcW w:w="1228" w:type="dxa"/>
            <w:tcMar>
              <w:top w:w="100" w:type="dxa"/>
              <w:left w:w="100" w:type="dxa"/>
              <w:bottom w:w="100" w:type="dxa"/>
              <w:right w:w="100" w:type="dxa"/>
            </w:tcMar>
          </w:tcPr>
          <w:p w14:paraId="13DB1F9E" w14:textId="77777777" w:rsidR="008625D5" w:rsidRDefault="008625D5" w:rsidP="000B7F9D">
            <w:pPr>
              <w:widowControl w:val="0"/>
              <w:pBdr>
                <w:top w:val="nil"/>
                <w:left w:val="nil"/>
                <w:bottom w:val="nil"/>
                <w:right w:val="nil"/>
                <w:between w:val="nil"/>
              </w:pBdr>
              <w:spacing w:line="240" w:lineRule="auto"/>
              <w:jc w:val="left"/>
            </w:pPr>
            <w:r>
              <w:lastRenderedPageBreak/>
              <w:t>18_LT</w:t>
            </w:r>
          </w:p>
        </w:tc>
        <w:tc>
          <w:tcPr>
            <w:tcW w:w="495" w:type="dxa"/>
          </w:tcPr>
          <w:p w14:paraId="47C48961" w14:textId="0AB4F86B" w:rsidR="008625D5" w:rsidRDefault="007403E3" w:rsidP="000B7F9D">
            <w:pPr>
              <w:widowControl w:val="0"/>
              <w:pBdr>
                <w:top w:val="nil"/>
                <w:left w:val="nil"/>
                <w:bottom w:val="nil"/>
                <w:right w:val="nil"/>
                <w:between w:val="nil"/>
              </w:pBdr>
              <w:spacing w:line="240" w:lineRule="auto"/>
              <w:jc w:val="left"/>
            </w:pPr>
            <w:r>
              <w:t>18</w:t>
            </w:r>
          </w:p>
        </w:tc>
        <w:tc>
          <w:tcPr>
            <w:tcW w:w="2402" w:type="dxa"/>
            <w:tcMar>
              <w:top w:w="100" w:type="dxa"/>
              <w:left w:w="100" w:type="dxa"/>
              <w:bottom w:w="100" w:type="dxa"/>
              <w:right w:w="100" w:type="dxa"/>
            </w:tcMar>
          </w:tcPr>
          <w:p w14:paraId="5858BA80" w14:textId="23B73DA4"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5EF7B2FD"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5F9A82BA" w14:textId="77777777" w:rsidR="008625D5" w:rsidRDefault="008625D5" w:rsidP="000B7F9D">
            <w:pPr>
              <w:widowControl w:val="0"/>
              <w:pBdr>
                <w:top w:val="nil"/>
                <w:left w:val="nil"/>
                <w:bottom w:val="nil"/>
                <w:right w:val="nil"/>
                <w:between w:val="nil"/>
              </w:pBdr>
              <w:spacing w:line="240" w:lineRule="auto"/>
              <w:jc w:val="left"/>
            </w:pPr>
          </w:p>
        </w:tc>
      </w:tr>
      <w:tr w:rsidR="008625D5" w14:paraId="1E85EB3F" w14:textId="77777777" w:rsidTr="0072096F">
        <w:tc>
          <w:tcPr>
            <w:tcW w:w="1228" w:type="dxa"/>
            <w:tcMar>
              <w:top w:w="100" w:type="dxa"/>
              <w:left w:w="100" w:type="dxa"/>
              <w:bottom w:w="100" w:type="dxa"/>
              <w:right w:w="100" w:type="dxa"/>
            </w:tcMar>
          </w:tcPr>
          <w:p w14:paraId="285F4A03" w14:textId="77777777" w:rsidR="008625D5" w:rsidRDefault="008625D5" w:rsidP="000B7F9D">
            <w:pPr>
              <w:widowControl w:val="0"/>
              <w:pBdr>
                <w:top w:val="nil"/>
                <w:left w:val="nil"/>
                <w:bottom w:val="nil"/>
                <w:right w:val="nil"/>
                <w:between w:val="nil"/>
              </w:pBdr>
              <w:spacing w:line="240" w:lineRule="auto"/>
              <w:jc w:val="left"/>
            </w:pPr>
            <w:r>
              <w:t>19_NP</w:t>
            </w:r>
          </w:p>
        </w:tc>
        <w:tc>
          <w:tcPr>
            <w:tcW w:w="495" w:type="dxa"/>
          </w:tcPr>
          <w:p w14:paraId="59E5C6D9" w14:textId="4516DB31" w:rsidR="008625D5" w:rsidRDefault="007403E3" w:rsidP="000B7F9D">
            <w:pPr>
              <w:widowControl w:val="0"/>
              <w:pBdr>
                <w:top w:val="nil"/>
                <w:left w:val="nil"/>
                <w:bottom w:val="nil"/>
                <w:right w:val="nil"/>
                <w:between w:val="nil"/>
              </w:pBdr>
              <w:spacing w:line="240" w:lineRule="auto"/>
              <w:jc w:val="left"/>
            </w:pPr>
            <w:r>
              <w:t>19</w:t>
            </w:r>
          </w:p>
        </w:tc>
        <w:tc>
          <w:tcPr>
            <w:tcW w:w="2402" w:type="dxa"/>
            <w:tcMar>
              <w:top w:w="100" w:type="dxa"/>
              <w:left w:w="100" w:type="dxa"/>
              <w:bottom w:w="100" w:type="dxa"/>
              <w:right w:w="100" w:type="dxa"/>
            </w:tcMar>
          </w:tcPr>
          <w:p w14:paraId="6AA7191F" w14:textId="12DA4069"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277BB7C5"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5045BD8F" w14:textId="77777777" w:rsidR="008625D5" w:rsidRDefault="008625D5" w:rsidP="000B7F9D">
            <w:pPr>
              <w:widowControl w:val="0"/>
              <w:pBdr>
                <w:top w:val="nil"/>
                <w:left w:val="nil"/>
                <w:bottom w:val="nil"/>
                <w:right w:val="nil"/>
                <w:between w:val="nil"/>
              </w:pBdr>
              <w:spacing w:line="240" w:lineRule="auto"/>
              <w:jc w:val="left"/>
            </w:pPr>
          </w:p>
        </w:tc>
      </w:tr>
      <w:tr w:rsidR="008625D5" w14:paraId="01ECE0F1" w14:textId="77777777" w:rsidTr="0072096F">
        <w:tc>
          <w:tcPr>
            <w:tcW w:w="1228" w:type="dxa"/>
            <w:tcMar>
              <w:top w:w="100" w:type="dxa"/>
              <w:left w:w="100" w:type="dxa"/>
              <w:bottom w:w="100" w:type="dxa"/>
              <w:right w:w="100" w:type="dxa"/>
            </w:tcMar>
          </w:tcPr>
          <w:p w14:paraId="129E90A1" w14:textId="77777777" w:rsidR="008625D5" w:rsidRDefault="008625D5" w:rsidP="000B7F9D">
            <w:pPr>
              <w:widowControl w:val="0"/>
              <w:pBdr>
                <w:top w:val="nil"/>
                <w:left w:val="nil"/>
                <w:bottom w:val="nil"/>
                <w:right w:val="nil"/>
                <w:between w:val="nil"/>
              </w:pBdr>
              <w:spacing w:line="240" w:lineRule="auto"/>
              <w:jc w:val="left"/>
            </w:pPr>
            <w:r>
              <w:t>20_D</w:t>
            </w:r>
          </w:p>
        </w:tc>
        <w:tc>
          <w:tcPr>
            <w:tcW w:w="495" w:type="dxa"/>
          </w:tcPr>
          <w:p w14:paraId="20A674E6" w14:textId="7484A3B2" w:rsidR="008625D5" w:rsidRDefault="007403E3" w:rsidP="000B7F9D">
            <w:pPr>
              <w:widowControl w:val="0"/>
              <w:pBdr>
                <w:top w:val="nil"/>
                <w:left w:val="nil"/>
                <w:bottom w:val="nil"/>
                <w:right w:val="nil"/>
                <w:between w:val="nil"/>
              </w:pBdr>
              <w:spacing w:line="240" w:lineRule="auto"/>
              <w:jc w:val="left"/>
            </w:pPr>
            <w:r>
              <w:t>20</w:t>
            </w:r>
          </w:p>
        </w:tc>
        <w:tc>
          <w:tcPr>
            <w:tcW w:w="2402" w:type="dxa"/>
            <w:tcMar>
              <w:top w:w="100" w:type="dxa"/>
              <w:left w:w="100" w:type="dxa"/>
              <w:bottom w:w="100" w:type="dxa"/>
              <w:right w:w="100" w:type="dxa"/>
            </w:tcMar>
          </w:tcPr>
          <w:p w14:paraId="681F2190" w14:textId="3B540090"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0D57908B"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7350E84E" w14:textId="77777777" w:rsidR="008625D5" w:rsidRDefault="008625D5" w:rsidP="000B7F9D">
            <w:pPr>
              <w:widowControl w:val="0"/>
              <w:pBdr>
                <w:top w:val="nil"/>
                <w:left w:val="nil"/>
                <w:bottom w:val="nil"/>
                <w:right w:val="nil"/>
                <w:between w:val="nil"/>
              </w:pBdr>
              <w:spacing w:line="240" w:lineRule="auto"/>
              <w:jc w:val="left"/>
            </w:pPr>
          </w:p>
        </w:tc>
      </w:tr>
      <w:tr w:rsidR="008625D5" w14:paraId="3AF2778F" w14:textId="77777777" w:rsidTr="0072096F">
        <w:tc>
          <w:tcPr>
            <w:tcW w:w="1228" w:type="dxa"/>
            <w:tcMar>
              <w:top w:w="100" w:type="dxa"/>
              <w:left w:w="100" w:type="dxa"/>
              <w:bottom w:w="100" w:type="dxa"/>
              <w:right w:w="100" w:type="dxa"/>
            </w:tcMar>
          </w:tcPr>
          <w:p w14:paraId="777E208A" w14:textId="77777777" w:rsidR="008625D5" w:rsidRDefault="008625D5" w:rsidP="000B7F9D">
            <w:pPr>
              <w:widowControl w:val="0"/>
              <w:pBdr>
                <w:top w:val="nil"/>
                <w:left w:val="nil"/>
                <w:bottom w:val="nil"/>
                <w:right w:val="nil"/>
                <w:between w:val="nil"/>
              </w:pBdr>
              <w:spacing w:line="240" w:lineRule="auto"/>
              <w:jc w:val="left"/>
            </w:pPr>
            <w:r>
              <w:t>21_LT</w:t>
            </w:r>
          </w:p>
        </w:tc>
        <w:tc>
          <w:tcPr>
            <w:tcW w:w="495" w:type="dxa"/>
          </w:tcPr>
          <w:p w14:paraId="1371A4C0" w14:textId="5FDFE14F" w:rsidR="008625D5" w:rsidRDefault="007403E3" w:rsidP="000B7F9D">
            <w:pPr>
              <w:widowControl w:val="0"/>
              <w:pBdr>
                <w:top w:val="nil"/>
                <w:left w:val="nil"/>
                <w:bottom w:val="nil"/>
                <w:right w:val="nil"/>
                <w:between w:val="nil"/>
              </w:pBdr>
              <w:spacing w:line="240" w:lineRule="auto"/>
              <w:jc w:val="left"/>
            </w:pPr>
            <w:r>
              <w:t>21</w:t>
            </w:r>
          </w:p>
        </w:tc>
        <w:tc>
          <w:tcPr>
            <w:tcW w:w="2402" w:type="dxa"/>
            <w:tcMar>
              <w:top w:w="100" w:type="dxa"/>
              <w:left w:w="100" w:type="dxa"/>
              <w:bottom w:w="100" w:type="dxa"/>
              <w:right w:w="100" w:type="dxa"/>
            </w:tcMar>
          </w:tcPr>
          <w:p w14:paraId="3CB347AB" w14:textId="46750C9C"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44D14D81"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2C97144C" w14:textId="77777777" w:rsidR="008625D5" w:rsidRDefault="008625D5" w:rsidP="000B7F9D">
            <w:pPr>
              <w:widowControl w:val="0"/>
              <w:pBdr>
                <w:top w:val="nil"/>
                <w:left w:val="nil"/>
                <w:bottom w:val="nil"/>
                <w:right w:val="nil"/>
                <w:between w:val="nil"/>
              </w:pBdr>
              <w:spacing w:line="240" w:lineRule="auto"/>
              <w:jc w:val="left"/>
            </w:pPr>
          </w:p>
        </w:tc>
      </w:tr>
      <w:tr w:rsidR="008625D5" w14:paraId="64D0391D" w14:textId="77777777" w:rsidTr="0072096F">
        <w:tc>
          <w:tcPr>
            <w:tcW w:w="1228" w:type="dxa"/>
            <w:tcMar>
              <w:top w:w="100" w:type="dxa"/>
              <w:left w:w="100" w:type="dxa"/>
              <w:bottom w:w="100" w:type="dxa"/>
              <w:right w:w="100" w:type="dxa"/>
            </w:tcMar>
          </w:tcPr>
          <w:p w14:paraId="02E17B86" w14:textId="77777777" w:rsidR="008625D5" w:rsidRDefault="008625D5" w:rsidP="000B7F9D">
            <w:pPr>
              <w:widowControl w:val="0"/>
              <w:pBdr>
                <w:top w:val="nil"/>
                <w:left w:val="nil"/>
                <w:bottom w:val="nil"/>
                <w:right w:val="nil"/>
                <w:between w:val="nil"/>
              </w:pBdr>
              <w:spacing w:line="240" w:lineRule="auto"/>
              <w:jc w:val="left"/>
            </w:pPr>
            <w:r>
              <w:t>22_D</w:t>
            </w:r>
          </w:p>
        </w:tc>
        <w:tc>
          <w:tcPr>
            <w:tcW w:w="495" w:type="dxa"/>
          </w:tcPr>
          <w:p w14:paraId="78DEBCC1" w14:textId="1037499B" w:rsidR="008625D5" w:rsidRDefault="007403E3" w:rsidP="000B7F9D">
            <w:pPr>
              <w:widowControl w:val="0"/>
              <w:pBdr>
                <w:top w:val="nil"/>
                <w:left w:val="nil"/>
                <w:bottom w:val="nil"/>
                <w:right w:val="nil"/>
                <w:between w:val="nil"/>
              </w:pBdr>
              <w:spacing w:line="240" w:lineRule="auto"/>
              <w:jc w:val="left"/>
            </w:pPr>
            <w:r>
              <w:t>22</w:t>
            </w:r>
          </w:p>
        </w:tc>
        <w:tc>
          <w:tcPr>
            <w:tcW w:w="2402" w:type="dxa"/>
            <w:tcMar>
              <w:top w:w="100" w:type="dxa"/>
              <w:left w:w="100" w:type="dxa"/>
              <w:bottom w:w="100" w:type="dxa"/>
              <w:right w:w="100" w:type="dxa"/>
            </w:tcMar>
          </w:tcPr>
          <w:p w14:paraId="1F4C7D9A" w14:textId="19980AB0"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547B4015"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17564CE2" w14:textId="77777777" w:rsidR="008625D5" w:rsidRDefault="008625D5" w:rsidP="000B7F9D">
            <w:pPr>
              <w:widowControl w:val="0"/>
              <w:pBdr>
                <w:top w:val="nil"/>
                <w:left w:val="nil"/>
                <w:bottom w:val="nil"/>
                <w:right w:val="nil"/>
                <w:between w:val="nil"/>
              </w:pBdr>
              <w:spacing w:line="240" w:lineRule="auto"/>
              <w:jc w:val="left"/>
            </w:pPr>
          </w:p>
        </w:tc>
      </w:tr>
      <w:tr w:rsidR="008625D5" w14:paraId="2FAB16B0" w14:textId="77777777" w:rsidTr="0072096F">
        <w:tc>
          <w:tcPr>
            <w:tcW w:w="1228" w:type="dxa"/>
            <w:tcMar>
              <w:top w:w="100" w:type="dxa"/>
              <w:left w:w="100" w:type="dxa"/>
              <w:bottom w:w="100" w:type="dxa"/>
              <w:right w:w="100" w:type="dxa"/>
            </w:tcMar>
          </w:tcPr>
          <w:p w14:paraId="232C0486" w14:textId="77777777" w:rsidR="008625D5" w:rsidRDefault="008625D5" w:rsidP="000B7F9D">
            <w:pPr>
              <w:widowControl w:val="0"/>
              <w:pBdr>
                <w:top w:val="nil"/>
                <w:left w:val="nil"/>
                <w:bottom w:val="nil"/>
                <w:right w:val="nil"/>
                <w:between w:val="nil"/>
              </w:pBdr>
              <w:spacing w:line="240" w:lineRule="auto"/>
              <w:jc w:val="left"/>
            </w:pPr>
            <w:r>
              <w:t>23_NP</w:t>
            </w:r>
          </w:p>
        </w:tc>
        <w:tc>
          <w:tcPr>
            <w:tcW w:w="495" w:type="dxa"/>
          </w:tcPr>
          <w:p w14:paraId="44F68266" w14:textId="4E6E894E" w:rsidR="008625D5" w:rsidRDefault="007403E3" w:rsidP="000B7F9D">
            <w:pPr>
              <w:widowControl w:val="0"/>
              <w:pBdr>
                <w:top w:val="nil"/>
                <w:left w:val="nil"/>
                <w:bottom w:val="nil"/>
                <w:right w:val="nil"/>
                <w:between w:val="nil"/>
              </w:pBdr>
              <w:spacing w:line="240" w:lineRule="auto"/>
              <w:jc w:val="left"/>
            </w:pPr>
            <w:r>
              <w:t>23</w:t>
            </w:r>
          </w:p>
        </w:tc>
        <w:tc>
          <w:tcPr>
            <w:tcW w:w="2402" w:type="dxa"/>
            <w:tcMar>
              <w:top w:w="100" w:type="dxa"/>
              <w:left w:w="100" w:type="dxa"/>
              <w:bottom w:w="100" w:type="dxa"/>
              <w:right w:w="100" w:type="dxa"/>
            </w:tcMar>
          </w:tcPr>
          <w:p w14:paraId="6AB64D3D" w14:textId="71D64A8A"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6EBDFEB7"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09E19F5B" w14:textId="77777777" w:rsidR="008625D5" w:rsidRDefault="008625D5" w:rsidP="000B7F9D">
            <w:pPr>
              <w:widowControl w:val="0"/>
              <w:pBdr>
                <w:top w:val="nil"/>
                <w:left w:val="nil"/>
                <w:bottom w:val="nil"/>
                <w:right w:val="nil"/>
                <w:between w:val="nil"/>
              </w:pBdr>
              <w:spacing w:line="240" w:lineRule="auto"/>
              <w:jc w:val="left"/>
            </w:pPr>
          </w:p>
        </w:tc>
      </w:tr>
      <w:tr w:rsidR="008625D5" w14:paraId="0A790636" w14:textId="77777777" w:rsidTr="0072096F">
        <w:tc>
          <w:tcPr>
            <w:tcW w:w="1228" w:type="dxa"/>
            <w:tcMar>
              <w:top w:w="100" w:type="dxa"/>
              <w:left w:w="100" w:type="dxa"/>
              <w:bottom w:w="100" w:type="dxa"/>
              <w:right w:w="100" w:type="dxa"/>
            </w:tcMar>
          </w:tcPr>
          <w:p w14:paraId="5192335B" w14:textId="77777777" w:rsidR="008625D5" w:rsidRDefault="008625D5" w:rsidP="000B7F9D">
            <w:pPr>
              <w:widowControl w:val="0"/>
              <w:pBdr>
                <w:top w:val="nil"/>
                <w:left w:val="nil"/>
                <w:bottom w:val="nil"/>
                <w:right w:val="nil"/>
                <w:between w:val="nil"/>
              </w:pBdr>
              <w:spacing w:line="240" w:lineRule="auto"/>
              <w:jc w:val="left"/>
            </w:pPr>
            <w:r>
              <w:t>24_LT</w:t>
            </w:r>
          </w:p>
        </w:tc>
        <w:tc>
          <w:tcPr>
            <w:tcW w:w="495" w:type="dxa"/>
          </w:tcPr>
          <w:p w14:paraId="19E2947B" w14:textId="7F231A9C" w:rsidR="008625D5" w:rsidRDefault="007403E3" w:rsidP="000B7F9D">
            <w:pPr>
              <w:widowControl w:val="0"/>
              <w:pBdr>
                <w:top w:val="nil"/>
                <w:left w:val="nil"/>
                <w:bottom w:val="nil"/>
                <w:right w:val="nil"/>
                <w:between w:val="nil"/>
              </w:pBdr>
              <w:spacing w:line="240" w:lineRule="auto"/>
              <w:jc w:val="left"/>
            </w:pPr>
            <w:r>
              <w:t>24</w:t>
            </w:r>
          </w:p>
        </w:tc>
        <w:tc>
          <w:tcPr>
            <w:tcW w:w="2402" w:type="dxa"/>
            <w:tcMar>
              <w:top w:w="100" w:type="dxa"/>
              <w:left w:w="100" w:type="dxa"/>
              <w:bottom w:w="100" w:type="dxa"/>
              <w:right w:w="100" w:type="dxa"/>
            </w:tcMar>
          </w:tcPr>
          <w:p w14:paraId="70C90698" w14:textId="57776174"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6B0EDB92"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340A4EAD" w14:textId="77777777" w:rsidR="008625D5" w:rsidRDefault="008625D5" w:rsidP="000B7F9D">
            <w:pPr>
              <w:widowControl w:val="0"/>
              <w:pBdr>
                <w:top w:val="nil"/>
                <w:left w:val="nil"/>
                <w:bottom w:val="nil"/>
                <w:right w:val="nil"/>
                <w:between w:val="nil"/>
              </w:pBdr>
              <w:spacing w:line="240" w:lineRule="auto"/>
              <w:jc w:val="left"/>
            </w:pPr>
          </w:p>
        </w:tc>
      </w:tr>
      <w:tr w:rsidR="008625D5" w14:paraId="58565C02" w14:textId="77777777" w:rsidTr="0072096F">
        <w:tc>
          <w:tcPr>
            <w:tcW w:w="1228" w:type="dxa"/>
            <w:tcMar>
              <w:top w:w="100" w:type="dxa"/>
              <w:left w:w="100" w:type="dxa"/>
              <w:bottom w:w="100" w:type="dxa"/>
              <w:right w:w="100" w:type="dxa"/>
            </w:tcMar>
          </w:tcPr>
          <w:p w14:paraId="5FF00468" w14:textId="77777777" w:rsidR="008625D5" w:rsidRDefault="008625D5" w:rsidP="000B7F9D">
            <w:pPr>
              <w:widowControl w:val="0"/>
              <w:pBdr>
                <w:top w:val="nil"/>
                <w:left w:val="nil"/>
                <w:bottom w:val="nil"/>
                <w:right w:val="nil"/>
                <w:between w:val="nil"/>
              </w:pBdr>
              <w:spacing w:line="240" w:lineRule="auto"/>
              <w:jc w:val="left"/>
            </w:pPr>
            <w:r>
              <w:t>25_LT</w:t>
            </w:r>
          </w:p>
        </w:tc>
        <w:tc>
          <w:tcPr>
            <w:tcW w:w="495" w:type="dxa"/>
          </w:tcPr>
          <w:p w14:paraId="065AD10B" w14:textId="006F5834" w:rsidR="008625D5" w:rsidRDefault="007403E3" w:rsidP="000B7F9D">
            <w:pPr>
              <w:widowControl w:val="0"/>
              <w:pBdr>
                <w:top w:val="nil"/>
                <w:left w:val="nil"/>
                <w:bottom w:val="nil"/>
                <w:right w:val="nil"/>
                <w:between w:val="nil"/>
              </w:pBdr>
              <w:spacing w:line="240" w:lineRule="auto"/>
              <w:jc w:val="left"/>
            </w:pPr>
            <w:r>
              <w:t>25</w:t>
            </w:r>
          </w:p>
        </w:tc>
        <w:tc>
          <w:tcPr>
            <w:tcW w:w="2402" w:type="dxa"/>
            <w:tcMar>
              <w:top w:w="100" w:type="dxa"/>
              <w:left w:w="100" w:type="dxa"/>
              <w:bottom w:w="100" w:type="dxa"/>
              <w:right w:w="100" w:type="dxa"/>
            </w:tcMar>
          </w:tcPr>
          <w:p w14:paraId="15E5EBDE" w14:textId="7B65AAEA"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30964E35"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114327B1" w14:textId="77777777" w:rsidR="008625D5" w:rsidRDefault="008625D5" w:rsidP="000B7F9D">
            <w:pPr>
              <w:widowControl w:val="0"/>
              <w:pBdr>
                <w:top w:val="nil"/>
                <w:left w:val="nil"/>
                <w:bottom w:val="nil"/>
                <w:right w:val="nil"/>
                <w:between w:val="nil"/>
              </w:pBdr>
              <w:spacing w:line="240" w:lineRule="auto"/>
              <w:jc w:val="left"/>
            </w:pPr>
          </w:p>
        </w:tc>
      </w:tr>
      <w:tr w:rsidR="008625D5" w14:paraId="26128FB8" w14:textId="77777777" w:rsidTr="0072096F">
        <w:tc>
          <w:tcPr>
            <w:tcW w:w="1228" w:type="dxa"/>
            <w:tcMar>
              <w:top w:w="100" w:type="dxa"/>
              <w:left w:w="100" w:type="dxa"/>
              <w:bottom w:w="100" w:type="dxa"/>
              <w:right w:w="100" w:type="dxa"/>
            </w:tcMar>
          </w:tcPr>
          <w:p w14:paraId="2869CF74" w14:textId="77777777" w:rsidR="008625D5" w:rsidRDefault="008625D5" w:rsidP="000B7F9D">
            <w:pPr>
              <w:widowControl w:val="0"/>
              <w:pBdr>
                <w:top w:val="nil"/>
                <w:left w:val="nil"/>
                <w:bottom w:val="nil"/>
                <w:right w:val="nil"/>
                <w:between w:val="nil"/>
              </w:pBdr>
              <w:spacing w:line="240" w:lineRule="auto"/>
              <w:jc w:val="left"/>
            </w:pPr>
            <w:r>
              <w:t>28_NP</w:t>
            </w:r>
          </w:p>
        </w:tc>
        <w:tc>
          <w:tcPr>
            <w:tcW w:w="495" w:type="dxa"/>
          </w:tcPr>
          <w:p w14:paraId="0B86C3F3" w14:textId="148010BF" w:rsidR="008625D5" w:rsidRDefault="0072096F" w:rsidP="000B7F9D">
            <w:pPr>
              <w:widowControl w:val="0"/>
              <w:pBdr>
                <w:top w:val="nil"/>
                <w:left w:val="nil"/>
                <w:bottom w:val="nil"/>
                <w:right w:val="nil"/>
                <w:between w:val="nil"/>
              </w:pBdr>
              <w:spacing w:line="240" w:lineRule="auto"/>
              <w:jc w:val="left"/>
            </w:pPr>
            <w:r>
              <w:t>26</w:t>
            </w:r>
          </w:p>
        </w:tc>
        <w:tc>
          <w:tcPr>
            <w:tcW w:w="2402" w:type="dxa"/>
            <w:tcMar>
              <w:top w:w="100" w:type="dxa"/>
              <w:left w:w="100" w:type="dxa"/>
              <w:bottom w:w="100" w:type="dxa"/>
              <w:right w:w="100" w:type="dxa"/>
            </w:tcMar>
          </w:tcPr>
          <w:p w14:paraId="7E4857D3" w14:textId="273A882C"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385E2CD1"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0FEA2ED0" w14:textId="77777777" w:rsidR="008625D5" w:rsidRDefault="008625D5" w:rsidP="000B7F9D">
            <w:pPr>
              <w:widowControl w:val="0"/>
              <w:pBdr>
                <w:top w:val="nil"/>
                <w:left w:val="nil"/>
                <w:bottom w:val="nil"/>
                <w:right w:val="nil"/>
                <w:between w:val="nil"/>
              </w:pBdr>
              <w:spacing w:line="240" w:lineRule="auto"/>
              <w:jc w:val="left"/>
            </w:pPr>
          </w:p>
        </w:tc>
      </w:tr>
      <w:tr w:rsidR="008625D5" w14:paraId="0472B8E9" w14:textId="77777777" w:rsidTr="0072096F">
        <w:tc>
          <w:tcPr>
            <w:tcW w:w="1228" w:type="dxa"/>
            <w:tcMar>
              <w:top w:w="100" w:type="dxa"/>
              <w:left w:w="100" w:type="dxa"/>
              <w:bottom w:w="100" w:type="dxa"/>
              <w:right w:w="100" w:type="dxa"/>
            </w:tcMar>
          </w:tcPr>
          <w:p w14:paraId="31205B7D" w14:textId="77777777" w:rsidR="008625D5" w:rsidRDefault="008625D5" w:rsidP="000B7F9D">
            <w:pPr>
              <w:widowControl w:val="0"/>
              <w:pBdr>
                <w:top w:val="nil"/>
                <w:left w:val="nil"/>
                <w:bottom w:val="nil"/>
                <w:right w:val="nil"/>
                <w:between w:val="nil"/>
              </w:pBdr>
              <w:spacing w:line="240" w:lineRule="auto"/>
              <w:jc w:val="left"/>
            </w:pPr>
            <w:r>
              <w:t>29_Pa10a</w:t>
            </w:r>
          </w:p>
        </w:tc>
        <w:tc>
          <w:tcPr>
            <w:tcW w:w="495" w:type="dxa"/>
          </w:tcPr>
          <w:p w14:paraId="277A6137" w14:textId="2FD328CB" w:rsidR="008625D5" w:rsidRDefault="007403E3" w:rsidP="000B7F9D">
            <w:pPr>
              <w:widowControl w:val="0"/>
              <w:pBdr>
                <w:top w:val="nil"/>
                <w:left w:val="nil"/>
                <w:bottom w:val="nil"/>
                <w:right w:val="nil"/>
                <w:between w:val="nil"/>
              </w:pBdr>
              <w:spacing w:line="240" w:lineRule="auto"/>
              <w:jc w:val="left"/>
            </w:pPr>
            <w:r>
              <w:t>2</w:t>
            </w:r>
            <w:r w:rsidR="0072096F">
              <w:t>7</w:t>
            </w:r>
          </w:p>
        </w:tc>
        <w:tc>
          <w:tcPr>
            <w:tcW w:w="2402" w:type="dxa"/>
            <w:tcMar>
              <w:top w:w="100" w:type="dxa"/>
              <w:left w:w="100" w:type="dxa"/>
              <w:bottom w:w="100" w:type="dxa"/>
              <w:right w:w="100" w:type="dxa"/>
            </w:tcMar>
          </w:tcPr>
          <w:p w14:paraId="4162957D" w14:textId="13D9D984"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7E0DB665"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6F1B46A9" w14:textId="77777777" w:rsidR="008625D5" w:rsidRDefault="008625D5" w:rsidP="000B7F9D">
            <w:pPr>
              <w:widowControl w:val="0"/>
              <w:pBdr>
                <w:top w:val="nil"/>
                <w:left w:val="nil"/>
                <w:bottom w:val="nil"/>
                <w:right w:val="nil"/>
                <w:between w:val="nil"/>
              </w:pBdr>
              <w:spacing w:line="240" w:lineRule="auto"/>
              <w:jc w:val="left"/>
            </w:pPr>
          </w:p>
        </w:tc>
      </w:tr>
      <w:tr w:rsidR="008625D5" w14:paraId="690E28DF" w14:textId="77777777" w:rsidTr="0072096F">
        <w:tc>
          <w:tcPr>
            <w:tcW w:w="1228" w:type="dxa"/>
            <w:tcMar>
              <w:top w:w="100" w:type="dxa"/>
              <w:left w:w="100" w:type="dxa"/>
              <w:bottom w:w="100" w:type="dxa"/>
              <w:right w:w="100" w:type="dxa"/>
            </w:tcMar>
          </w:tcPr>
          <w:p w14:paraId="402C6B55" w14:textId="77777777" w:rsidR="008625D5" w:rsidRDefault="008625D5" w:rsidP="000B7F9D">
            <w:pPr>
              <w:widowControl w:val="0"/>
              <w:pBdr>
                <w:top w:val="nil"/>
                <w:left w:val="nil"/>
                <w:bottom w:val="nil"/>
                <w:right w:val="nil"/>
                <w:between w:val="nil"/>
              </w:pBdr>
              <w:spacing w:line="240" w:lineRule="auto"/>
              <w:jc w:val="left"/>
            </w:pPr>
            <w:r>
              <w:t>30_Pa11</w:t>
            </w:r>
          </w:p>
        </w:tc>
        <w:tc>
          <w:tcPr>
            <w:tcW w:w="495" w:type="dxa"/>
          </w:tcPr>
          <w:p w14:paraId="7308AD28" w14:textId="5FF67F89" w:rsidR="0072096F" w:rsidRDefault="0072096F" w:rsidP="000B7F9D">
            <w:pPr>
              <w:widowControl w:val="0"/>
              <w:pBdr>
                <w:top w:val="nil"/>
                <w:left w:val="nil"/>
                <w:bottom w:val="nil"/>
                <w:right w:val="nil"/>
                <w:between w:val="nil"/>
              </w:pBdr>
              <w:spacing w:line="240" w:lineRule="auto"/>
              <w:jc w:val="left"/>
            </w:pPr>
            <w:r>
              <w:t>28</w:t>
            </w:r>
          </w:p>
        </w:tc>
        <w:tc>
          <w:tcPr>
            <w:tcW w:w="2402" w:type="dxa"/>
            <w:tcMar>
              <w:top w:w="100" w:type="dxa"/>
              <w:left w:w="100" w:type="dxa"/>
              <w:bottom w:w="100" w:type="dxa"/>
              <w:right w:w="100" w:type="dxa"/>
            </w:tcMar>
          </w:tcPr>
          <w:p w14:paraId="031E678F" w14:textId="7FD6EB2A"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40779DF5"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47F3A502" w14:textId="77777777" w:rsidR="008625D5" w:rsidRDefault="008625D5" w:rsidP="000B7F9D">
            <w:pPr>
              <w:widowControl w:val="0"/>
              <w:pBdr>
                <w:top w:val="nil"/>
                <w:left w:val="nil"/>
                <w:bottom w:val="nil"/>
                <w:right w:val="nil"/>
                <w:between w:val="nil"/>
              </w:pBdr>
              <w:spacing w:line="240" w:lineRule="auto"/>
              <w:jc w:val="left"/>
            </w:pPr>
          </w:p>
        </w:tc>
      </w:tr>
      <w:tr w:rsidR="008625D5" w14:paraId="228AA1A2" w14:textId="77777777" w:rsidTr="0072096F">
        <w:tc>
          <w:tcPr>
            <w:tcW w:w="1228" w:type="dxa"/>
            <w:tcMar>
              <w:top w:w="100" w:type="dxa"/>
              <w:left w:w="100" w:type="dxa"/>
              <w:bottom w:w="100" w:type="dxa"/>
              <w:right w:w="100" w:type="dxa"/>
            </w:tcMar>
          </w:tcPr>
          <w:p w14:paraId="5F42E979" w14:textId="77777777" w:rsidR="008625D5" w:rsidRDefault="008625D5" w:rsidP="000B7F9D">
            <w:pPr>
              <w:widowControl w:val="0"/>
              <w:pBdr>
                <w:top w:val="nil"/>
                <w:left w:val="nil"/>
                <w:bottom w:val="nil"/>
                <w:right w:val="nil"/>
                <w:between w:val="nil"/>
              </w:pBdr>
              <w:spacing w:line="240" w:lineRule="auto"/>
              <w:jc w:val="left"/>
            </w:pPr>
            <w:r>
              <w:t>31_Pa12</w:t>
            </w:r>
          </w:p>
        </w:tc>
        <w:tc>
          <w:tcPr>
            <w:tcW w:w="495" w:type="dxa"/>
          </w:tcPr>
          <w:p w14:paraId="00EDF66A" w14:textId="16E8F1E1" w:rsidR="008625D5" w:rsidRDefault="0072096F" w:rsidP="000B7F9D">
            <w:pPr>
              <w:widowControl w:val="0"/>
              <w:pBdr>
                <w:top w:val="nil"/>
                <w:left w:val="nil"/>
                <w:bottom w:val="nil"/>
                <w:right w:val="nil"/>
                <w:between w:val="nil"/>
              </w:pBdr>
              <w:spacing w:line="240" w:lineRule="auto"/>
              <w:jc w:val="left"/>
            </w:pPr>
            <w:r>
              <w:t>29</w:t>
            </w:r>
          </w:p>
        </w:tc>
        <w:tc>
          <w:tcPr>
            <w:tcW w:w="2402" w:type="dxa"/>
            <w:tcMar>
              <w:top w:w="100" w:type="dxa"/>
              <w:left w:w="100" w:type="dxa"/>
              <w:bottom w:w="100" w:type="dxa"/>
              <w:right w:w="100" w:type="dxa"/>
            </w:tcMar>
          </w:tcPr>
          <w:p w14:paraId="2503A777" w14:textId="46CB50F7"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183C5846"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5E133950" w14:textId="77777777" w:rsidR="008625D5" w:rsidRDefault="008625D5" w:rsidP="000B7F9D">
            <w:pPr>
              <w:widowControl w:val="0"/>
              <w:pBdr>
                <w:top w:val="nil"/>
                <w:left w:val="nil"/>
                <w:bottom w:val="nil"/>
                <w:right w:val="nil"/>
                <w:between w:val="nil"/>
              </w:pBdr>
              <w:spacing w:line="240" w:lineRule="auto"/>
              <w:jc w:val="left"/>
            </w:pPr>
          </w:p>
        </w:tc>
      </w:tr>
      <w:tr w:rsidR="008625D5" w14:paraId="5836E8BA" w14:textId="77777777" w:rsidTr="0072096F">
        <w:tc>
          <w:tcPr>
            <w:tcW w:w="1228" w:type="dxa"/>
            <w:tcMar>
              <w:top w:w="100" w:type="dxa"/>
              <w:left w:w="100" w:type="dxa"/>
              <w:bottom w:w="100" w:type="dxa"/>
              <w:right w:w="100" w:type="dxa"/>
            </w:tcMar>
          </w:tcPr>
          <w:p w14:paraId="3B678916" w14:textId="77777777" w:rsidR="008625D5" w:rsidRDefault="008625D5" w:rsidP="000B7F9D">
            <w:pPr>
              <w:widowControl w:val="0"/>
              <w:pBdr>
                <w:top w:val="nil"/>
                <w:left w:val="nil"/>
                <w:bottom w:val="nil"/>
                <w:right w:val="nil"/>
                <w:between w:val="nil"/>
              </w:pBdr>
              <w:spacing w:line="240" w:lineRule="auto"/>
              <w:jc w:val="left"/>
            </w:pPr>
            <w:r>
              <w:t>32_Pa13</w:t>
            </w:r>
          </w:p>
        </w:tc>
        <w:tc>
          <w:tcPr>
            <w:tcW w:w="495" w:type="dxa"/>
          </w:tcPr>
          <w:p w14:paraId="584412A6" w14:textId="42EC721D" w:rsidR="008625D5" w:rsidRDefault="0072096F" w:rsidP="000B7F9D">
            <w:pPr>
              <w:widowControl w:val="0"/>
              <w:pBdr>
                <w:top w:val="nil"/>
                <w:left w:val="nil"/>
                <w:bottom w:val="nil"/>
                <w:right w:val="nil"/>
                <w:between w:val="nil"/>
              </w:pBdr>
              <w:spacing w:line="240" w:lineRule="auto"/>
              <w:jc w:val="left"/>
            </w:pPr>
            <w:r>
              <w:t>30</w:t>
            </w:r>
          </w:p>
        </w:tc>
        <w:tc>
          <w:tcPr>
            <w:tcW w:w="2402" w:type="dxa"/>
            <w:tcMar>
              <w:top w:w="100" w:type="dxa"/>
              <w:left w:w="100" w:type="dxa"/>
              <w:bottom w:w="100" w:type="dxa"/>
              <w:right w:w="100" w:type="dxa"/>
            </w:tcMar>
          </w:tcPr>
          <w:p w14:paraId="0E02E48A" w14:textId="68EFF2D7"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200649EB"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2C4E704C" w14:textId="77777777" w:rsidR="008625D5" w:rsidRDefault="008625D5" w:rsidP="000B7F9D">
            <w:pPr>
              <w:widowControl w:val="0"/>
              <w:pBdr>
                <w:top w:val="nil"/>
                <w:left w:val="nil"/>
                <w:bottom w:val="nil"/>
                <w:right w:val="nil"/>
                <w:between w:val="nil"/>
              </w:pBdr>
              <w:spacing w:line="240" w:lineRule="auto"/>
              <w:jc w:val="left"/>
            </w:pPr>
          </w:p>
        </w:tc>
      </w:tr>
      <w:tr w:rsidR="008625D5" w14:paraId="2495C55E" w14:textId="77777777" w:rsidTr="0072096F">
        <w:tc>
          <w:tcPr>
            <w:tcW w:w="1228" w:type="dxa"/>
            <w:tcMar>
              <w:top w:w="100" w:type="dxa"/>
              <w:left w:w="100" w:type="dxa"/>
              <w:bottom w:w="100" w:type="dxa"/>
              <w:right w:w="100" w:type="dxa"/>
            </w:tcMar>
          </w:tcPr>
          <w:p w14:paraId="4D8B0E99" w14:textId="77777777" w:rsidR="008625D5" w:rsidRDefault="008625D5" w:rsidP="000B7F9D">
            <w:pPr>
              <w:widowControl w:val="0"/>
              <w:pBdr>
                <w:top w:val="nil"/>
                <w:left w:val="nil"/>
                <w:bottom w:val="nil"/>
                <w:right w:val="nil"/>
                <w:between w:val="nil"/>
              </w:pBdr>
              <w:spacing w:line="240" w:lineRule="auto"/>
              <w:jc w:val="left"/>
            </w:pPr>
            <w:r>
              <w:t>33_Pa14</w:t>
            </w:r>
          </w:p>
        </w:tc>
        <w:tc>
          <w:tcPr>
            <w:tcW w:w="495" w:type="dxa"/>
          </w:tcPr>
          <w:p w14:paraId="09D24614" w14:textId="2F7A8A59" w:rsidR="008625D5" w:rsidRDefault="0072096F" w:rsidP="000B7F9D">
            <w:pPr>
              <w:widowControl w:val="0"/>
              <w:pBdr>
                <w:top w:val="nil"/>
                <w:left w:val="nil"/>
                <w:bottom w:val="nil"/>
                <w:right w:val="nil"/>
                <w:between w:val="nil"/>
              </w:pBdr>
              <w:spacing w:line="240" w:lineRule="auto"/>
              <w:jc w:val="left"/>
            </w:pPr>
            <w:r>
              <w:t>31</w:t>
            </w:r>
          </w:p>
        </w:tc>
        <w:tc>
          <w:tcPr>
            <w:tcW w:w="2402" w:type="dxa"/>
            <w:tcMar>
              <w:top w:w="100" w:type="dxa"/>
              <w:left w:w="100" w:type="dxa"/>
              <w:bottom w:w="100" w:type="dxa"/>
              <w:right w:w="100" w:type="dxa"/>
            </w:tcMar>
          </w:tcPr>
          <w:p w14:paraId="6ABBD40E" w14:textId="141F24C5"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42C2FA12"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4D006E56" w14:textId="77777777" w:rsidR="008625D5" w:rsidRDefault="008625D5" w:rsidP="000B7F9D">
            <w:pPr>
              <w:widowControl w:val="0"/>
              <w:pBdr>
                <w:top w:val="nil"/>
                <w:left w:val="nil"/>
                <w:bottom w:val="nil"/>
                <w:right w:val="nil"/>
                <w:between w:val="nil"/>
              </w:pBdr>
              <w:spacing w:line="240" w:lineRule="auto"/>
              <w:jc w:val="left"/>
            </w:pPr>
          </w:p>
        </w:tc>
      </w:tr>
      <w:tr w:rsidR="008625D5" w14:paraId="3A33F09E" w14:textId="77777777" w:rsidTr="0072096F">
        <w:tc>
          <w:tcPr>
            <w:tcW w:w="1228" w:type="dxa"/>
            <w:tcMar>
              <w:top w:w="100" w:type="dxa"/>
              <w:left w:w="100" w:type="dxa"/>
              <w:bottom w:w="100" w:type="dxa"/>
              <w:right w:w="100" w:type="dxa"/>
            </w:tcMar>
          </w:tcPr>
          <w:p w14:paraId="20C15EBF" w14:textId="77777777" w:rsidR="008625D5" w:rsidRDefault="008625D5" w:rsidP="000B7F9D">
            <w:pPr>
              <w:widowControl w:val="0"/>
              <w:pBdr>
                <w:top w:val="nil"/>
                <w:left w:val="nil"/>
                <w:bottom w:val="nil"/>
                <w:right w:val="nil"/>
                <w:between w:val="nil"/>
              </w:pBdr>
              <w:spacing w:line="240" w:lineRule="auto"/>
              <w:jc w:val="left"/>
            </w:pPr>
            <w:r>
              <w:t>34_Pa15</w:t>
            </w:r>
          </w:p>
        </w:tc>
        <w:tc>
          <w:tcPr>
            <w:tcW w:w="495" w:type="dxa"/>
          </w:tcPr>
          <w:p w14:paraId="08766471" w14:textId="080F1EDB" w:rsidR="008625D5" w:rsidRDefault="0072096F" w:rsidP="000B7F9D">
            <w:pPr>
              <w:widowControl w:val="0"/>
              <w:pBdr>
                <w:top w:val="nil"/>
                <w:left w:val="nil"/>
                <w:bottom w:val="nil"/>
                <w:right w:val="nil"/>
                <w:between w:val="nil"/>
              </w:pBdr>
              <w:spacing w:line="240" w:lineRule="auto"/>
              <w:jc w:val="left"/>
            </w:pPr>
            <w:r>
              <w:t>32</w:t>
            </w:r>
          </w:p>
        </w:tc>
        <w:tc>
          <w:tcPr>
            <w:tcW w:w="2402" w:type="dxa"/>
            <w:tcMar>
              <w:top w:w="100" w:type="dxa"/>
              <w:left w:w="100" w:type="dxa"/>
              <w:bottom w:w="100" w:type="dxa"/>
              <w:right w:w="100" w:type="dxa"/>
            </w:tcMar>
          </w:tcPr>
          <w:p w14:paraId="355C96AF" w14:textId="24D131F6"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3C0D947C"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70063BE0" w14:textId="77777777" w:rsidR="008625D5" w:rsidRDefault="008625D5" w:rsidP="000B7F9D">
            <w:pPr>
              <w:widowControl w:val="0"/>
              <w:pBdr>
                <w:top w:val="nil"/>
                <w:left w:val="nil"/>
                <w:bottom w:val="nil"/>
                <w:right w:val="nil"/>
                <w:between w:val="nil"/>
              </w:pBdr>
              <w:spacing w:line="240" w:lineRule="auto"/>
              <w:jc w:val="left"/>
            </w:pPr>
          </w:p>
        </w:tc>
      </w:tr>
      <w:tr w:rsidR="008625D5" w14:paraId="1540E557" w14:textId="77777777" w:rsidTr="0072096F">
        <w:tc>
          <w:tcPr>
            <w:tcW w:w="1228" w:type="dxa"/>
            <w:tcMar>
              <w:top w:w="100" w:type="dxa"/>
              <w:left w:w="100" w:type="dxa"/>
              <w:bottom w:w="100" w:type="dxa"/>
              <w:right w:w="100" w:type="dxa"/>
            </w:tcMar>
          </w:tcPr>
          <w:p w14:paraId="75A2BB21" w14:textId="77777777" w:rsidR="008625D5" w:rsidRDefault="008625D5" w:rsidP="000B7F9D">
            <w:pPr>
              <w:widowControl w:val="0"/>
              <w:pBdr>
                <w:top w:val="nil"/>
                <w:left w:val="nil"/>
                <w:bottom w:val="nil"/>
                <w:right w:val="nil"/>
                <w:between w:val="nil"/>
              </w:pBdr>
              <w:spacing w:line="240" w:lineRule="auto"/>
              <w:jc w:val="left"/>
            </w:pPr>
            <w:r>
              <w:t>35_Pa16</w:t>
            </w:r>
          </w:p>
        </w:tc>
        <w:tc>
          <w:tcPr>
            <w:tcW w:w="495" w:type="dxa"/>
          </w:tcPr>
          <w:p w14:paraId="5702DC84" w14:textId="1A9692BD" w:rsidR="008625D5" w:rsidRDefault="0072096F" w:rsidP="000B7F9D">
            <w:pPr>
              <w:widowControl w:val="0"/>
              <w:pBdr>
                <w:top w:val="nil"/>
                <w:left w:val="nil"/>
                <w:bottom w:val="nil"/>
                <w:right w:val="nil"/>
                <w:between w:val="nil"/>
              </w:pBdr>
              <w:spacing w:line="240" w:lineRule="auto"/>
              <w:jc w:val="left"/>
            </w:pPr>
            <w:r>
              <w:t>33</w:t>
            </w:r>
          </w:p>
        </w:tc>
        <w:tc>
          <w:tcPr>
            <w:tcW w:w="2402" w:type="dxa"/>
            <w:tcMar>
              <w:top w:w="100" w:type="dxa"/>
              <w:left w:w="100" w:type="dxa"/>
              <w:bottom w:w="100" w:type="dxa"/>
              <w:right w:w="100" w:type="dxa"/>
            </w:tcMar>
          </w:tcPr>
          <w:p w14:paraId="7EF1EA1B" w14:textId="151162AA"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21AEF73C"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504F8227" w14:textId="77777777" w:rsidR="008625D5" w:rsidRDefault="008625D5" w:rsidP="000B7F9D">
            <w:pPr>
              <w:widowControl w:val="0"/>
              <w:pBdr>
                <w:top w:val="nil"/>
                <w:left w:val="nil"/>
                <w:bottom w:val="nil"/>
                <w:right w:val="nil"/>
                <w:between w:val="nil"/>
              </w:pBdr>
              <w:spacing w:line="240" w:lineRule="auto"/>
              <w:jc w:val="left"/>
            </w:pPr>
          </w:p>
        </w:tc>
      </w:tr>
      <w:tr w:rsidR="008625D5" w14:paraId="7796A854" w14:textId="77777777" w:rsidTr="0072096F">
        <w:tc>
          <w:tcPr>
            <w:tcW w:w="1228" w:type="dxa"/>
            <w:tcMar>
              <w:top w:w="100" w:type="dxa"/>
              <w:left w:w="100" w:type="dxa"/>
              <w:bottom w:w="100" w:type="dxa"/>
              <w:right w:w="100" w:type="dxa"/>
            </w:tcMar>
          </w:tcPr>
          <w:p w14:paraId="75AB05E8" w14:textId="77777777" w:rsidR="008625D5" w:rsidRDefault="008625D5" w:rsidP="000B7F9D">
            <w:pPr>
              <w:widowControl w:val="0"/>
              <w:pBdr>
                <w:top w:val="nil"/>
                <w:left w:val="nil"/>
                <w:bottom w:val="nil"/>
                <w:right w:val="nil"/>
                <w:between w:val="nil"/>
              </w:pBdr>
              <w:spacing w:line="240" w:lineRule="auto"/>
              <w:jc w:val="left"/>
            </w:pPr>
            <w:r>
              <w:t>36_Pa1</w:t>
            </w:r>
          </w:p>
        </w:tc>
        <w:tc>
          <w:tcPr>
            <w:tcW w:w="495" w:type="dxa"/>
          </w:tcPr>
          <w:p w14:paraId="3C3535BA" w14:textId="098F0CFE" w:rsidR="008625D5" w:rsidRDefault="0072096F" w:rsidP="000B7F9D">
            <w:pPr>
              <w:widowControl w:val="0"/>
              <w:pBdr>
                <w:top w:val="nil"/>
                <w:left w:val="nil"/>
                <w:bottom w:val="nil"/>
                <w:right w:val="nil"/>
                <w:between w:val="nil"/>
              </w:pBdr>
              <w:spacing w:line="240" w:lineRule="auto"/>
              <w:jc w:val="left"/>
            </w:pPr>
            <w:r>
              <w:t>34</w:t>
            </w:r>
          </w:p>
        </w:tc>
        <w:tc>
          <w:tcPr>
            <w:tcW w:w="2402" w:type="dxa"/>
            <w:tcMar>
              <w:top w:w="100" w:type="dxa"/>
              <w:left w:w="100" w:type="dxa"/>
              <w:bottom w:w="100" w:type="dxa"/>
              <w:right w:w="100" w:type="dxa"/>
            </w:tcMar>
          </w:tcPr>
          <w:p w14:paraId="3D0E842D" w14:textId="226FF5CB"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70F18597"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7C9EEA7D" w14:textId="77777777" w:rsidR="008625D5" w:rsidRDefault="008625D5" w:rsidP="000B7F9D">
            <w:pPr>
              <w:widowControl w:val="0"/>
              <w:pBdr>
                <w:top w:val="nil"/>
                <w:left w:val="nil"/>
                <w:bottom w:val="nil"/>
                <w:right w:val="nil"/>
                <w:between w:val="nil"/>
              </w:pBdr>
              <w:spacing w:line="240" w:lineRule="auto"/>
              <w:jc w:val="left"/>
            </w:pPr>
          </w:p>
        </w:tc>
      </w:tr>
      <w:tr w:rsidR="008625D5" w14:paraId="3D59B97F" w14:textId="77777777" w:rsidTr="0072096F">
        <w:tc>
          <w:tcPr>
            <w:tcW w:w="1228" w:type="dxa"/>
            <w:tcMar>
              <w:top w:w="100" w:type="dxa"/>
              <w:left w:w="100" w:type="dxa"/>
              <w:bottom w:w="100" w:type="dxa"/>
              <w:right w:w="100" w:type="dxa"/>
            </w:tcMar>
          </w:tcPr>
          <w:p w14:paraId="69C4A682" w14:textId="77777777" w:rsidR="008625D5" w:rsidRDefault="008625D5" w:rsidP="000B7F9D">
            <w:pPr>
              <w:widowControl w:val="0"/>
              <w:pBdr>
                <w:top w:val="nil"/>
                <w:left w:val="nil"/>
                <w:bottom w:val="nil"/>
                <w:right w:val="nil"/>
                <w:between w:val="nil"/>
              </w:pBdr>
              <w:spacing w:line="240" w:lineRule="auto"/>
              <w:jc w:val="left"/>
            </w:pPr>
            <w:r>
              <w:t>37_Pa2</w:t>
            </w:r>
          </w:p>
        </w:tc>
        <w:tc>
          <w:tcPr>
            <w:tcW w:w="495" w:type="dxa"/>
          </w:tcPr>
          <w:p w14:paraId="119BFF23" w14:textId="1600E2B4" w:rsidR="008625D5" w:rsidRDefault="0072096F" w:rsidP="000B7F9D">
            <w:pPr>
              <w:widowControl w:val="0"/>
              <w:pBdr>
                <w:top w:val="nil"/>
                <w:left w:val="nil"/>
                <w:bottom w:val="nil"/>
                <w:right w:val="nil"/>
                <w:between w:val="nil"/>
              </w:pBdr>
              <w:spacing w:line="240" w:lineRule="auto"/>
              <w:jc w:val="left"/>
            </w:pPr>
            <w:r>
              <w:t>35</w:t>
            </w:r>
          </w:p>
        </w:tc>
        <w:tc>
          <w:tcPr>
            <w:tcW w:w="2402" w:type="dxa"/>
            <w:tcMar>
              <w:top w:w="100" w:type="dxa"/>
              <w:left w:w="100" w:type="dxa"/>
              <w:bottom w:w="100" w:type="dxa"/>
              <w:right w:w="100" w:type="dxa"/>
            </w:tcMar>
          </w:tcPr>
          <w:p w14:paraId="3834BD24" w14:textId="71EC4EE8"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5A48E7D7"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39F3142C" w14:textId="77777777" w:rsidR="008625D5" w:rsidRDefault="008625D5" w:rsidP="000B7F9D">
            <w:pPr>
              <w:widowControl w:val="0"/>
              <w:pBdr>
                <w:top w:val="nil"/>
                <w:left w:val="nil"/>
                <w:bottom w:val="nil"/>
                <w:right w:val="nil"/>
                <w:between w:val="nil"/>
              </w:pBdr>
              <w:spacing w:line="240" w:lineRule="auto"/>
              <w:jc w:val="left"/>
            </w:pPr>
          </w:p>
        </w:tc>
      </w:tr>
      <w:tr w:rsidR="008625D5" w14:paraId="0EED0BC4" w14:textId="77777777" w:rsidTr="0072096F">
        <w:tc>
          <w:tcPr>
            <w:tcW w:w="1228" w:type="dxa"/>
            <w:tcMar>
              <w:top w:w="100" w:type="dxa"/>
              <w:left w:w="100" w:type="dxa"/>
              <w:bottom w:w="100" w:type="dxa"/>
              <w:right w:w="100" w:type="dxa"/>
            </w:tcMar>
          </w:tcPr>
          <w:p w14:paraId="362E0AFD" w14:textId="77777777" w:rsidR="008625D5" w:rsidRDefault="008625D5" w:rsidP="000B7F9D">
            <w:pPr>
              <w:widowControl w:val="0"/>
              <w:pBdr>
                <w:top w:val="nil"/>
                <w:left w:val="nil"/>
                <w:bottom w:val="nil"/>
                <w:right w:val="nil"/>
                <w:between w:val="nil"/>
              </w:pBdr>
              <w:spacing w:line="240" w:lineRule="auto"/>
              <w:jc w:val="left"/>
            </w:pPr>
            <w:r>
              <w:t>38_Pa3</w:t>
            </w:r>
          </w:p>
        </w:tc>
        <w:tc>
          <w:tcPr>
            <w:tcW w:w="495" w:type="dxa"/>
          </w:tcPr>
          <w:p w14:paraId="103360A8" w14:textId="66E1CD5F" w:rsidR="008625D5" w:rsidRDefault="0072096F" w:rsidP="000B7F9D">
            <w:pPr>
              <w:widowControl w:val="0"/>
              <w:pBdr>
                <w:top w:val="nil"/>
                <w:left w:val="nil"/>
                <w:bottom w:val="nil"/>
                <w:right w:val="nil"/>
                <w:between w:val="nil"/>
              </w:pBdr>
              <w:spacing w:line="240" w:lineRule="auto"/>
              <w:jc w:val="left"/>
            </w:pPr>
            <w:r>
              <w:t>36</w:t>
            </w:r>
          </w:p>
        </w:tc>
        <w:tc>
          <w:tcPr>
            <w:tcW w:w="2402" w:type="dxa"/>
            <w:tcMar>
              <w:top w:w="100" w:type="dxa"/>
              <w:left w:w="100" w:type="dxa"/>
              <w:bottom w:w="100" w:type="dxa"/>
              <w:right w:w="100" w:type="dxa"/>
            </w:tcMar>
          </w:tcPr>
          <w:p w14:paraId="1F685B30" w14:textId="6FDD19CA"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017EFAA9"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7F62DE09" w14:textId="77777777" w:rsidR="008625D5" w:rsidRDefault="008625D5" w:rsidP="000B7F9D">
            <w:pPr>
              <w:widowControl w:val="0"/>
              <w:pBdr>
                <w:top w:val="nil"/>
                <w:left w:val="nil"/>
                <w:bottom w:val="nil"/>
                <w:right w:val="nil"/>
                <w:between w:val="nil"/>
              </w:pBdr>
              <w:spacing w:line="240" w:lineRule="auto"/>
              <w:jc w:val="left"/>
            </w:pPr>
          </w:p>
        </w:tc>
      </w:tr>
      <w:tr w:rsidR="008625D5" w14:paraId="7C8496DF" w14:textId="77777777" w:rsidTr="0072096F">
        <w:tc>
          <w:tcPr>
            <w:tcW w:w="1228" w:type="dxa"/>
            <w:tcMar>
              <w:top w:w="100" w:type="dxa"/>
              <w:left w:w="100" w:type="dxa"/>
              <w:bottom w:w="100" w:type="dxa"/>
              <w:right w:w="100" w:type="dxa"/>
            </w:tcMar>
          </w:tcPr>
          <w:p w14:paraId="36E90D09" w14:textId="77777777" w:rsidR="008625D5" w:rsidRDefault="008625D5" w:rsidP="000B7F9D">
            <w:pPr>
              <w:widowControl w:val="0"/>
              <w:pBdr>
                <w:top w:val="nil"/>
                <w:left w:val="nil"/>
                <w:bottom w:val="nil"/>
                <w:right w:val="nil"/>
                <w:between w:val="nil"/>
              </w:pBdr>
              <w:spacing w:line="240" w:lineRule="auto"/>
              <w:jc w:val="left"/>
            </w:pPr>
            <w:r>
              <w:t>39_Pa4</w:t>
            </w:r>
          </w:p>
        </w:tc>
        <w:tc>
          <w:tcPr>
            <w:tcW w:w="495" w:type="dxa"/>
          </w:tcPr>
          <w:p w14:paraId="4A57C20C" w14:textId="6AC39FBD" w:rsidR="008625D5" w:rsidRDefault="0072096F" w:rsidP="000B7F9D">
            <w:pPr>
              <w:widowControl w:val="0"/>
              <w:pBdr>
                <w:top w:val="nil"/>
                <w:left w:val="nil"/>
                <w:bottom w:val="nil"/>
                <w:right w:val="nil"/>
                <w:between w:val="nil"/>
              </w:pBdr>
              <w:spacing w:line="240" w:lineRule="auto"/>
              <w:jc w:val="left"/>
            </w:pPr>
            <w:r>
              <w:t>37</w:t>
            </w:r>
          </w:p>
        </w:tc>
        <w:tc>
          <w:tcPr>
            <w:tcW w:w="2402" w:type="dxa"/>
            <w:tcMar>
              <w:top w:w="100" w:type="dxa"/>
              <w:left w:w="100" w:type="dxa"/>
              <w:bottom w:w="100" w:type="dxa"/>
              <w:right w:w="100" w:type="dxa"/>
            </w:tcMar>
          </w:tcPr>
          <w:p w14:paraId="25A5D9E7" w14:textId="02BA90F5"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66A53F45"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6C79176D" w14:textId="77777777" w:rsidR="008625D5" w:rsidRDefault="008625D5" w:rsidP="000B7F9D">
            <w:pPr>
              <w:widowControl w:val="0"/>
              <w:pBdr>
                <w:top w:val="nil"/>
                <w:left w:val="nil"/>
                <w:bottom w:val="nil"/>
                <w:right w:val="nil"/>
                <w:between w:val="nil"/>
              </w:pBdr>
              <w:spacing w:line="240" w:lineRule="auto"/>
              <w:jc w:val="left"/>
            </w:pPr>
          </w:p>
        </w:tc>
      </w:tr>
      <w:tr w:rsidR="008625D5" w14:paraId="7E16E8BB" w14:textId="77777777" w:rsidTr="0072096F">
        <w:tc>
          <w:tcPr>
            <w:tcW w:w="1228" w:type="dxa"/>
            <w:tcMar>
              <w:top w:w="100" w:type="dxa"/>
              <w:left w:w="100" w:type="dxa"/>
              <w:bottom w:w="100" w:type="dxa"/>
              <w:right w:w="100" w:type="dxa"/>
            </w:tcMar>
          </w:tcPr>
          <w:p w14:paraId="059CE6F8" w14:textId="77777777" w:rsidR="008625D5" w:rsidRDefault="008625D5" w:rsidP="000B7F9D">
            <w:pPr>
              <w:widowControl w:val="0"/>
              <w:pBdr>
                <w:top w:val="nil"/>
                <w:left w:val="nil"/>
                <w:bottom w:val="nil"/>
                <w:right w:val="nil"/>
                <w:between w:val="nil"/>
              </w:pBdr>
              <w:spacing w:line="240" w:lineRule="auto"/>
              <w:jc w:val="left"/>
            </w:pPr>
            <w:r>
              <w:t>40_Pa5</w:t>
            </w:r>
          </w:p>
        </w:tc>
        <w:tc>
          <w:tcPr>
            <w:tcW w:w="495" w:type="dxa"/>
          </w:tcPr>
          <w:p w14:paraId="0EC0FED2" w14:textId="771D1738" w:rsidR="008625D5" w:rsidRDefault="0072096F" w:rsidP="000B7F9D">
            <w:pPr>
              <w:widowControl w:val="0"/>
              <w:pBdr>
                <w:top w:val="nil"/>
                <w:left w:val="nil"/>
                <w:bottom w:val="nil"/>
                <w:right w:val="nil"/>
                <w:between w:val="nil"/>
              </w:pBdr>
              <w:spacing w:line="240" w:lineRule="auto"/>
              <w:jc w:val="left"/>
            </w:pPr>
            <w:r>
              <w:t>38</w:t>
            </w:r>
          </w:p>
        </w:tc>
        <w:tc>
          <w:tcPr>
            <w:tcW w:w="2402" w:type="dxa"/>
            <w:tcMar>
              <w:top w:w="100" w:type="dxa"/>
              <w:left w:w="100" w:type="dxa"/>
              <w:bottom w:w="100" w:type="dxa"/>
              <w:right w:w="100" w:type="dxa"/>
            </w:tcMar>
          </w:tcPr>
          <w:p w14:paraId="6F55789B" w14:textId="1B8314C8"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3D00BB35"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601AC57B" w14:textId="77777777" w:rsidR="008625D5" w:rsidRDefault="008625D5" w:rsidP="000B7F9D">
            <w:pPr>
              <w:widowControl w:val="0"/>
              <w:pBdr>
                <w:top w:val="nil"/>
                <w:left w:val="nil"/>
                <w:bottom w:val="nil"/>
                <w:right w:val="nil"/>
                <w:between w:val="nil"/>
              </w:pBdr>
              <w:spacing w:line="240" w:lineRule="auto"/>
              <w:jc w:val="left"/>
            </w:pPr>
          </w:p>
        </w:tc>
      </w:tr>
      <w:tr w:rsidR="008625D5" w14:paraId="2BB91C45" w14:textId="77777777" w:rsidTr="0072096F">
        <w:tc>
          <w:tcPr>
            <w:tcW w:w="1228" w:type="dxa"/>
            <w:tcMar>
              <w:top w:w="100" w:type="dxa"/>
              <w:left w:w="100" w:type="dxa"/>
              <w:bottom w:w="100" w:type="dxa"/>
              <w:right w:w="100" w:type="dxa"/>
            </w:tcMar>
          </w:tcPr>
          <w:p w14:paraId="4FEB4119" w14:textId="77777777" w:rsidR="008625D5" w:rsidRDefault="008625D5" w:rsidP="000B7F9D">
            <w:pPr>
              <w:widowControl w:val="0"/>
              <w:pBdr>
                <w:top w:val="nil"/>
                <w:left w:val="nil"/>
                <w:bottom w:val="nil"/>
                <w:right w:val="nil"/>
                <w:between w:val="nil"/>
              </w:pBdr>
              <w:spacing w:line="240" w:lineRule="auto"/>
              <w:jc w:val="left"/>
            </w:pPr>
            <w:r>
              <w:t>Pa6</w:t>
            </w:r>
          </w:p>
        </w:tc>
        <w:tc>
          <w:tcPr>
            <w:tcW w:w="495" w:type="dxa"/>
          </w:tcPr>
          <w:p w14:paraId="24DAECC8" w14:textId="459FE60E" w:rsidR="008625D5" w:rsidRDefault="0072096F" w:rsidP="000B7F9D">
            <w:pPr>
              <w:widowControl w:val="0"/>
              <w:pBdr>
                <w:top w:val="nil"/>
                <w:left w:val="nil"/>
                <w:bottom w:val="nil"/>
                <w:right w:val="nil"/>
                <w:between w:val="nil"/>
              </w:pBdr>
              <w:spacing w:line="240" w:lineRule="auto"/>
              <w:jc w:val="left"/>
            </w:pPr>
            <w:r>
              <w:t>39</w:t>
            </w:r>
          </w:p>
        </w:tc>
        <w:tc>
          <w:tcPr>
            <w:tcW w:w="2402" w:type="dxa"/>
            <w:tcMar>
              <w:top w:w="100" w:type="dxa"/>
              <w:left w:w="100" w:type="dxa"/>
              <w:bottom w:w="100" w:type="dxa"/>
              <w:right w:w="100" w:type="dxa"/>
            </w:tcMar>
          </w:tcPr>
          <w:p w14:paraId="0F2D3CF8" w14:textId="65FFE401"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5588A440"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761200E4" w14:textId="77777777" w:rsidR="008625D5" w:rsidRDefault="008625D5" w:rsidP="000B7F9D">
            <w:pPr>
              <w:widowControl w:val="0"/>
              <w:pBdr>
                <w:top w:val="nil"/>
                <w:left w:val="nil"/>
                <w:bottom w:val="nil"/>
                <w:right w:val="nil"/>
                <w:between w:val="nil"/>
              </w:pBdr>
              <w:spacing w:line="240" w:lineRule="auto"/>
              <w:jc w:val="left"/>
            </w:pPr>
          </w:p>
        </w:tc>
      </w:tr>
      <w:tr w:rsidR="008625D5" w14:paraId="4DEFB15C" w14:textId="77777777" w:rsidTr="0072096F">
        <w:tc>
          <w:tcPr>
            <w:tcW w:w="1228" w:type="dxa"/>
            <w:tcMar>
              <w:top w:w="100" w:type="dxa"/>
              <w:left w:w="100" w:type="dxa"/>
              <w:bottom w:w="100" w:type="dxa"/>
              <w:right w:w="100" w:type="dxa"/>
            </w:tcMar>
          </w:tcPr>
          <w:p w14:paraId="777E5D34" w14:textId="77777777" w:rsidR="008625D5" w:rsidRDefault="008625D5" w:rsidP="000B7F9D">
            <w:pPr>
              <w:widowControl w:val="0"/>
              <w:pBdr>
                <w:top w:val="nil"/>
                <w:left w:val="nil"/>
                <w:bottom w:val="nil"/>
                <w:right w:val="nil"/>
                <w:between w:val="nil"/>
              </w:pBdr>
              <w:spacing w:line="240" w:lineRule="auto"/>
              <w:jc w:val="left"/>
            </w:pPr>
            <w:r>
              <w:t>Pa7</w:t>
            </w:r>
          </w:p>
        </w:tc>
        <w:tc>
          <w:tcPr>
            <w:tcW w:w="495" w:type="dxa"/>
          </w:tcPr>
          <w:p w14:paraId="40F34A21" w14:textId="7884FA09" w:rsidR="008625D5" w:rsidRDefault="0072096F" w:rsidP="000B7F9D">
            <w:pPr>
              <w:widowControl w:val="0"/>
              <w:pBdr>
                <w:top w:val="nil"/>
                <w:left w:val="nil"/>
                <w:bottom w:val="nil"/>
                <w:right w:val="nil"/>
                <w:between w:val="nil"/>
              </w:pBdr>
              <w:spacing w:line="240" w:lineRule="auto"/>
              <w:jc w:val="left"/>
            </w:pPr>
            <w:r>
              <w:t>40</w:t>
            </w:r>
          </w:p>
        </w:tc>
        <w:tc>
          <w:tcPr>
            <w:tcW w:w="2402" w:type="dxa"/>
            <w:tcMar>
              <w:top w:w="100" w:type="dxa"/>
              <w:left w:w="100" w:type="dxa"/>
              <w:bottom w:w="100" w:type="dxa"/>
              <w:right w:w="100" w:type="dxa"/>
            </w:tcMar>
          </w:tcPr>
          <w:p w14:paraId="45CA8170" w14:textId="14DEC333"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04D46EBF"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64A94CAF" w14:textId="77777777" w:rsidR="008625D5" w:rsidRDefault="008625D5" w:rsidP="000B7F9D">
            <w:pPr>
              <w:widowControl w:val="0"/>
              <w:pBdr>
                <w:top w:val="nil"/>
                <w:left w:val="nil"/>
                <w:bottom w:val="nil"/>
                <w:right w:val="nil"/>
                <w:between w:val="nil"/>
              </w:pBdr>
              <w:spacing w:line="240" w:lineRule="auto"/>
              <w:jc w:val="left"/>
            </w:pPr>
          </w:p>
        </w:tc>
      </w:tr>
      <w:tr w:rsidR="008625D5" w14:paraId="75C867BE" w14:textId="77777777" w:rsidTr="0072096F">
        <w:tc>
          <w:tcPr>
            <w:tcW w:w="1228" w:type="dxa"/>
            <w:tcMar>
              <w:top w:w="100" w:type="dxa"/>
              <w:left w:w="100" w:type="dxa"/>
              <w:bottom w:w="100" w:type="dxa"/>
              <w:right w:w="100" w:type="dxa"/>
            </w:tcMar>
          </w:tcPr>
          <w:p w14:paraId="7F7403D0" w14:textId="77777777" w:rsidR="008625D5" w:rsidRDefault="008625D5" w:rsidP="000B7F9D">
            <w:pPr>
              <w:widowControl w:val="0"/>
              <w:pBdr>
                <w:top w:val="nil"/>
                <w:left w:val="nil"/>
                <w:bottom w:val="nil"/>
                <w:right w:val="nil"/>
                <w:between w:val="nil"/>
              </w:pBdr>
              <w:spacing w:line="240" w:lineRule="auto"/>
              <w:jc w:val="left"/>
            </w:pPr>
            <w:r>
              <w:t>Pa8</w:t>
            </w:r>
          </w:p>
        </w:tc>
        <w:tc>
          <w:tcPr>
            <w:tcW w:w="495" w:type="dxa"/>
          </w:tcPr>
          <w:p w14:paraId="56D7A117" w14:textId="77777777" w:rsidR="008625D5" w:rsidRDefault="008625D5" w:rsidP="000B7F9D">
            <w:pPr>
              <w:widowControl w:val="0"/>
              <w:pBdr>
                <w:top w:val="nil"/>
                <w:left w:val="nil"/>
                <w:bottom w:val="nil"/>
                <w:right w:val="nil"/>
                <w:between w:val="nil"/>
              </w:pBdr>
              <w:spacing w:line="240" w:lineRule="auto"/>
              <w:jc w:val="left"/>
            </w:pPr>
          </w:p>
        </w:tc>
        <w:tc>
          <w:tcPr>
            <w:tcW w:w="2402" w:type="dxa"/>
            <w:tcMar>
              <w:top w:w="100" w:type="dxa"/>
              <w:left w:w="100" w:type="dxa"/>
              <w:bottom w:w="100" w:type="dxa"/>
              <w:right w:w="100" w:type="dxa"/>
            </w:tcMar>
          </w:tcPr>
          <w:p w14:paraId="20C34A43" w14:textId="0B625806"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7F049E04"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6F2EE9B3" w14:textId="77777777" w:rsidR="008625D5" w:rsidRDefault="008625D5" w:rsidP="000B7F9D">
            <w:pPr>
              <w:widowControl w:val="0"/>
              <w:pBdr>
                <w:top w:val="nil"/>
                <w:left w:val="nil"/>
                <w:bottom w:val="nil"/>
                <w:right w:val="nil"/>
                <w:between w:val="nil"/>
              </w:pBdr>
              <w:spacing w:line="240" w:lineRule="auto"/>
              <w:jc w:val="left"/>
            </w:pPr>
          </w:p>
        </w:tc>
      </w:tr>
      <w:tr w:rsidR="008625D5" w14:paraId="25643FC8" w14:textId="77777777" w:rsidTr="0072096F">
        <w:tc>
          <w:tcPr>
            <w:tcW w:w="1228" w:type="dxa"/>
            <w:tcMar>
              <w:top w:w="100" w:type="dxa"/>
              <w:left w:w="100" w:type="dxa"/>
              <w:bottom w:w="100" w:type="dxa"/>
              <w:right w:w="100" w:type="dxa"/>
            </w:tcMar>
          </w:tcPr>
          <w:p w14:paraId="2440DDA2" w14:textId="77777777" w:rsidR="008625D5" w:rsidRDefault="008625D5" w:rsidP="000B7F9D">
            <w:pPr>
              <w:widowControl w:val="0"/>
              <w:pBdr>
                <w:top w:val="nil"/>
                <w:left w:val="nil"/>
                <w:bottom w:val="nil"/>
                <w:right w:val="nil"/>
                <w:between w:val="nil"/>
              </w:pBdr>
              <w:spacing w:line="240" w:lineRule="auto"/>
              <w:jc w:val="left"/>
            </w:pPr>
            <w:r>
              <w:t>Pa9</w:t>
            </w:r>
          </w:p>
        </w:tc>
        <w:tc>
          <w:tcPr>
            <w:tcW w:w="495" w:type="dxa"/>
          </w:tcPr>
          <w:p w14:paraId="605A1EDE" w14:textId="77777777" w:rsidR="008625D5" w:rsidRDefault="008625D5" w:rsidP="000B7F9D">
            <w:pPr>
              <w:widowControl w:val="0"/>
              <w:pBdr>
                <w:top w:val="nil"/>
                <w:left w:val="nil"/>
                <w:bottom w:val="nil"/>
                <w:right w:val="nil"/>
                <w:between w:val="nil"/>
              </w:pBdr>
              <w:spacing w:line="240" w:lineRule="auto"/>
              <w:jc w:val="left"/>
            </w:pPr>
          </w:p>
        </w:tc>
        <w:tc>
          <w:tcPr>
            <w:tcW w:w="2402" w:type="dxa"/>
            <w:tcMar>
              <w:top w:w="100" w:type="dxa"/>
              <w:left w:w="100" w:type="dxa"/>
              <w:bottom w:w="100" w:type="dxa"/>
              <w:right w:w="100" w:type="dxa"/>
            </w:tcMar>
          </w:tcPr>
          <w:p w14:paraId="67836232" w14:textId="070EDDA8" w:rsidR="008625D5" w:rsidRDefault="008625D5" w:rsidP="000B7F9D">
            <w:pPr>
              <w:widowControl w:val="0"/>
              <w:pBdr>
                <w:top w:val="nil"/>
                <w:left w:val="nil"/>
                <w:bottom w:val="nil"/>
                <w:right w:val="nil"/>
                <w:between w:val="nil"/>
              </w:pBdr>
              <w:spacing w:line="240" w:lineRule="auto"/>
              <w:jc w:val="left"/>
            </w:pPr>
          </w:p>
        </w:tc>
        <w:tc>
          <w:tcPr>
            <w:tcW w:w="2551" w:type="dxa"/>
            <w:tcMar>
              <w:top w:w="100" w:type="dxa"/>
              <w:left w:w="100" w:type="dxa"/>
              <w:bottom w:w="100" w:type="dxa"/>
              <w:right w:w="100" w:type="dxa"/>
            </w:tcMar>
          </w:tcPr>
          <w:p w14:paraId="365B09E8" w14:textId="77777777" w:rsidR="008625D5" w:rsidRDefault="008625D5" w:rsidP="000B7F9D">
            <w:pPr>
              <w:widowControl w:val="0"/>
              <w:pBdr>
                <w:top w:val="nil"/>
                <w:left w:val="nil"/>
                <w:bottom w:val="nil"/>
                <w:right w:val="nil"/>
                <w:between w:val="nil"/>
              </w:pBdr>
              <w:spacing w:line="240" w:lineRule="auto"/>
              <w:jc w:val="left"/>
            </w:pPr>
          </w:p>
        </w:tc>
        <w:tc>
          <w:tcPr>
            <w:tcW w:w="3530" w:type="dxa"/>
            <w:tcMar>
              <w:top w:w="100" w:type="dxa"/>
              <w:left w:w="100" w:type="dxa"/>
              <w:bottom w:w="100" w:type="dxa"/>
              <w:right w:w="100" w:type="dxa"/>
            </w:tcMar>
          </w:tcPr>
          <w:p w14:paraId="5D97D8C7" w14:textId="77777777" w:rsidR="008625D5" w:rsidRDefault="008625D5" w:rsidP="000B7F9D">
            <w:pPr>
              <w:widowControl w:val="0"/>
              <w:pBdr>
                <w:top w:val="nil"/>
                <w:left w:val="nil"/>
                <w:bottom w:val="nil"/>
                <w:right w:val="nil"/>
                <w:between w:val="nil"/>
              </w:pBdr>
              <w:spacing w:line="240" w:lineRule="auto"/>
              <w:jc w:val="left"/>
            </w:pPr>
          </w:p>
        </w:tc>
      </w:tr>
    </w:tbl>
    <w:p w14:paraId="11EFAE4E" w14:textId="77777777" w:rsidR="00CB4DA1" w:rsidRDefault="00CB4DA1" w:rsidP="00CB4DA1">
      <w:pPr>
        <w:spacing w:before="240" w:after="240"/>
        <w:ind w:firstLine="720"/>
      </w:pPr>
      <w:r>
        <w:lastRenderedPageBreak/>
        <w:t>While mapping the organisations involved in granted projects, we observed that a small number of major legacy news organisations appeared repeatedly across different consortia, often in leading roles. By contrast, small news outlets were largely absent from the list of beneficiaries. This pattern informed our second research question and motivated a targeted effort to recruit non-participants and smaller actors for the interview sample.</w:t>
      </w:r>
    </w:p>
    <w:p w14:paraId="32FEA73A" w14:textId="77777777" w:rsidR="00CB4DA1" w:rsidRDefault="00CB4DA1" w:rsidP="00CB4DA1">
      <w:pPr>
        <w:pStyle w:val="Kop3"/>
        <w:keepNext w:val="0"/>
        <w:keepLines w:val="0"/>
        <w:spacing w:before="280"/>
        <w:rPr>
          <w:b/>
          <w:bCs/>
          <w:color w:val="000000"/>
        </w:rPr>
      </w:pPr>
      <w:bookmarkStart w:id="11" w:name="_w8wh7a1jtilw" w:colFirst="0" w:colLast="0"/>
      <w:bookmarkEnd w:id="11"/>
      <w:r>
        <w:rPr>
          <w:b/>
          <w:bCs/>
          <w:color w:val="000000"/>
        </w:rPr>
        <w:t>Recruitment and data collection</w:t>
      </w:r>
    </w:p>
    <w:p w14:paraId="6E621B15" w14:textId="77777777" w:rsidR="00CB4DA1" w:rsidRDefault="00CB4DA1" w:rsidP="00CB4DA1">
      <w:pPr>
        <w:spacing w:before="240" w:after="240"/>
      </w:pPr>
      <w:r>
        <w:t>Informants were recruited via existing professional networks and direct email invitations to eligible organisations. The interviews took place between September and November 2024, at a time when most projects had entered their final phase or had recently been completed. This timing allowed informants to reflect not only on the application process but also on project implementation and perceived outcomes.</w:t>
      </w:r>
    </w:p>
    <w:p w14:paraId="44B5EB9D" w14:textId="77777777" w:rsidR="00CB4DA1" w:rsidRDefault="00CB4DA1" w:rsidP="00CB4DA1">
      <w:pPr>
        <w:spacing w:before="240" w:after="240"/>
        <w:ind w:firstLine="720"/>
      </w:pPr>
      <w:r>
        <w:t>We conducted semi-structured interviews probing into each of the project phases. The interviews took place online via MSTeams and lasted on average 60 minutes. Emphasising anonymity and secure data handling aimed to create a setting in which participants felt comfortable sharing critical reflections on the programme and its different phases. Informed consent was obtained beforehand.</w:t>
      </w:r>
    </w:p>
    <w:p w14:paraId="121CD0F6" w14:textId="77777777" w:rsidR="00CB4DA1" w:rsidRDefault="00CB4DA1" w:rsidP="00CB4DA1">
      <w:pPr>
        <w:pStyle w:val="Kop3"/>
        <w:keepNext w:val="0"/>
        <w:keepLines w:val="0"/>
        <w:spacing w:before="280"/>
        <w:rPr>
          <w:b/>
          <w:bCs/>
          <w:color w:val="000000"/>
        </w:rPr>
      </w:pPr>
      <w:bookmarkStart w:id="12" w:name="_2xnikok5fxk0" w:colFirst="0" w:colLast="0"/>
      <w:bookmarkEnd w:id="12"/>
      <w:r>
        <w:rPr>
          <w:b/>
          <w:bCs/>
          <w:color w:val="000000"/>
        </w:rPr>
        <w:t>Analytical strategy: three-pronged thematic analysis</w:t>
      </w:r>
    </w:p>
    <w:p w14:paraId="7689288F" w14:textId="77777777" w:rsidR="00CB4DA1" w:rsidRDefault="00CB4DA1" w:rsidP="00CB4DA1">
      <w:pPr>
        <w:spacing w:before="240" w:after="240"/>
      </w:pPr>
      <w:r>
        <w:t xml:space="preserve">The interview material was thematically analysed using a three-pronged strategy (Clarke and Braun, 2014). This approach allowed us to move iteratively between </w:t>
      </w:r>
      <w:r>
        <w:lastRenderedPageBreak/>
        <w:t>theory-driven expectations about innovation funding and inductive insights from the interview material.</w:t>
      </w:r>
    </w:p>
    <w:p w14:paraId="06E5E2D3" w14:textId="77777777" w:rsidR="00CB4DA1" w:rsidRDefault="00CB4DA1" w:rsidP="00CB4DA1">
      <w:pPr>
        <w:spacing w:before="240" w:after="240"/>
        <w:ind w:firstLine="720"/>
      </w:pPr>
      <w:r>
        <w:t>In a first step, we developed a deductive coding frame informed by our theoretical framework and research questions. Drawing on the literature on media innovation funding, field-level interventions and organisational capacity, we specified a set of a priori categories (e.g., programme design and goals; eligibility and selection; organisational resources; collaboration and networks; perceived benefits and risks; barriers to participation). This category system guided an initial, systematic reading of all transcripts and ensured that core dimensions of our conceptual model were consistently captured across interviews.</w:t>
      </w:r>
    </w:p>
    <w:p w14:paraId="3C3B6948" w14:textId="77777777" w:rsidR="00CB4DA1" w:rsidRDefault="00CB4DA1" w:rsidP="00CB4DA1">
      <w:pPr>
        <w:spacing w:before="240" w:after="240"/>
        <w:ind w:firstLine="720"/>
      </w:pPr>
      <w:r>
        <w:t>In a second step, we complemented this deductive frame with inductive, data-driven coding in line with Clarke and Braun’s approach to thematic analysis (2014). While applying the initial categories, we remained attentive to recurring meanings, problem framings and metaphors that were not anticipated by our framework but were salient for interviewees themselves, for example, how informants characterised the programme’s “speed”, “riskiness” or “club-like” nature. These inductive codes were iteratively refined through repeated reading and constant comparison within and across transcripts. The coding scheme was discussed among the authors, and categories were merged, split or relabelled where necessary to better capture the nuances of the data.</w:t>
      </w:r>
    </w:p>
    <w:p w14:paraId="4E42C493" w14:textId="77777777" w:rsidR="00CB4DA1" w:rsidRDefault="00CB4DA1" w:rsidP="00CB4DA1">
      <w:pPr>
        <w:spacing w:before="240" w:after="240"/>
        <w:ind w:firstLine="720"/>
      </w:pPr>
      <w:r>
        <w:t xml:space="preserve">In a third step, we conducted a comparative thematic synthesis across different groups of actors and positions within the field. We organised codes into thematic matrices contrasting (a) participants and non-participants, (b) large legacy </w:t>
      </w:r>
      <w:r>
        <w:lastRenderedPageBreak/>
        <w:t>organisations and smaller outlets, also commercial and public service media, and (c) sector-level organisations (e.g., journalism associations). This cross-case comparison enabled us to trace how similar policy instruments and procedures were experienced differently depending on organisational size, resources and network position, and to identify patterns that speak directly to our research questions about who is able to access innovation funding and under what conditions.</w:t>
      </w:r>
    </w:p>
    <w:p w14:paraId="727C17F0" w14:textId="77777777" w:rsidR="00CB4DA1" w:rsidRDefault="00CB4DA1" w:rsidP="00CB4DA1">
      <w:pPr>
        <w:pStyle w:val="Kop3"/>
        <w:spacing w:before="240" w:after="240"/>
        <w:rPr>
          <w:b/>
          <w:bCs/>
        </w:rPr>
      </w:pPr>
      <w:bookmarkStart w:id="13" w:name="_vypsqvbccw6c" w:colFirst="0" w:colLast="0"/>
      <w:bookmarkEnd w:id="13"/>
      <w:r>
        <w:rPr>
          <w:b/>
          <w:bCs/>
        </w:rPr>
        <w:t>Operationalisation of boundary work and institutional pressures</w:t>
      </w:r>
    </w:p>
    <w:p w14:paraId="1DAF388B" w14:textId="77777777" w:rsidR="00CB4DA1" w:rsidRDefault="00CB4DA1" w:rsidP="00CB4DA1">
      <w:r>
        <w:t xml:space="preserve">Our theoretical lens combines boundary work (Carlson, 2016) with institutional logics (Hanitzsch, 2007) to explain how participation inequality is produced through interactions between programme mechanics and newsroom capacity or routines. In analytic terms, we operationalised boundary work as (a) classification and credentialing (accounts of “credible” consortia, legitimate coordinators, and fundable problem framings), (b) gatekeeping and access control (invitation practices, reliance on incumbents to “open the door,” and perceived insider coordination), (c) role demarcation and governance (who defines deliverables, controls information flows, and occupies coordinating positions), and (d) reputational boundary maintenance (how innovation credit, visibility, and openness are managed around outputs). </w:t>
      </w:r>
    </w:p>
    <w:p w14:paraId="6618E4C4" w14:textId="77777777" w:rsidR="00CB4DA1" w:rsidRDefault="00CB4DA1" w:rsidP="00CB4DA1">
      <w:pPr>
        <w:ind w:firstLine="720"/>
      </w:pPr>
      <w:r>
        <w:t xml:space="preserve">We operationalised institutional pressures as interview evidence of coercive, normative, or mimetic constraints shaping innovation work: coercive pressures included reporting or procurement obligations and KPI regimes; normative pressures included professional news values, continuous production rhythms, and risk aversion; mimetic pressures included copying “successful” bid templates, consortia formats, or trend-led framings when calls were perceived as elastic. We also coded for </w:t>
      </w:r>
      <w:r>
        <w:lastRenderedPageBreak/>
        <w:t xml:space="preserve">institutional dynamics at phase transitions, e.g., decoupling when outputs are delivered but not embedded, and path dependence (Pierson, 2000) when early advantages translate into governance control and follow-on credibility. These indicators were embedded in the phase-based coding structure (application, implementation, outputs, consolidation) and then synthesised comparatively across actor groups (participants/non-participants; large/small; public service/commercial; technology partners; associations), consistent with our three-pronged thematic analysis. </w:t>
      </w:r>
    </w:p>
    <w:p w14:paraId="640D1CDA" w14:textId="77777777" w:rsidR="00CB4DA1" w:rsidRDefault="00CB4DA1" w:rsidP="00CB4DA1">
      <w:pPr>
        <w:ind w:firstLine="720"/>
      </w:pPr>
      <w:r>
        <w:t>We coded boundary-work and institutional-pressure indicators only when supported by concrete descriptions of practices or constraints (not merely evaluative statements), and we checked each theme against variation across organisational types to avoid single-source inference.</w:t>
      </w:r>
    </w:p>
    <w:p w14:paraId="6618B561" w14:textId="77777777" w:rsidR="00CB4DA1" w:rsidRDefault="00CB4DA1" w:rsidP="00CB4DA1">
      <w:pPr>
        <w:pStyle w:val="Kop1"/>
      </w:pPr>
      <w:bookmarkStart w:id="14" w:name="_2p4evkl9tir1" w:colFirst="0" w:colLast="0"/>
      <w:bookmarkEnd w:id="14"/>
      <w:r>
        <w:t>Findings</w:t>
      </w:r>
    </w:p>
    <w:p w14:paraId="5CF33070" w14:textId="77777777" w:rsidR="00CB4DA1" w:rsidRDefault="00CB4DA1" w:rsidP="00CB4DA1">
      <w:r>
        <w:t>The findings are structured around the four-phase framework: (1) Application and programme design; (2) Project progress; (3) Outputs and completion, and (4) Consolidation and next steps.</w:t>
      </w:r>
    </w:p>
    <w:p w14:paraId="78962F98" w14:textId="77777777" w:rsidR="00CB4DA1" w:rsidRDefault="00CB4DA1" w:rsidP="00CB4DA1">
      <w:pPr>
        <w:pStyle w:val="Kop2"/>
      </w:pPr>
      <w:bookmarkStart w:id="15" w:name="_gpgxuiplbv5u" w:colFirst="0" w:colLast="0"/>
      <w:bookmarkEnd w:id="15"/>
      <w:r>
        <w:t>Phase 1. Application: programme design and entry conditions</w:t>
      </w:r>
    </w:p>
    <w:p w14:paraId="34ACE48A" w14:textId="77777777" w:rsidR="00CB4DA1" w:rsidRDefault="00CB4DA1" w:rsidP="00CB4DA1">
      <w:r>
        <w:t xml:space="preserve">Across interviews, informants described Phase 1 as characterised by a short time window combined with administrative load, consortium gatekeeping, and ambiguity of call expectations and strategic alignment work. These conditions shaped not only </w:t>
      </w:r>
      <w:r>
        <w:lastRenderedPageBreak/>
        <w:t>whether organisations applied, but also how roles were distributed within consortia from the outset.</w:t>
      </w:r>
    </w:p>
    <w:p w14:paraId="67C84198" w14:textId="77777777" w:rsidR="00CB4DA1" w:rsidRDefault="00CB4DA1" w:rsidP="00CB4DA1">
      <w:pPr>
        <w:pStyle w:val="Kop3"/>
      </w:pPr>
      <w:bookmarkStart w:id="16" w:name="_1f9zr5hp5gwi" w:colFirst="0" w:colLast="0"/>
      <w:bookmarkEnd w:id="16"/>
      <w:r>
        <w:t>Programme design features as experienced by applicants and non-applicants</w:t>
      </w:r>
    </w:p>
    <w:p w14:paraId="08895EA8" w14:textId="77777777" w:rsidR="00CB4DA1" w:rsidRDefault="00CB4DA1" w:rsidP="00CB4DA1">
      <w:r>
        <w:t xml:space="preserve">Informants consistently referenced specific design features of the call as shaping participation. First, it was required to set up a consortium, and cross-sector consortia would be favoured. </w:t>
      </w:r>
    </w:p>
    <w:p w14:paraId="1900FEDE" w14:textId="77777777" w:rsidR="00CB4DA1" w:rsidRDefault="00CB4DA1" w:rsidP="00CB4DA1">
      <w:pPr>
        <w:ind w:left="720"/>
        <w:rPr>
          <w:i/>
          <w:iCs/>
        </w:rPr>
      </w:pPr>
      <w:r>
        <w:rPr>
          <w:i/>
          <w:iCs/>
        </w:rPr>
        <w:t>“The whole call really emphasised: you have to enter into a partnership, you have to form a consortium. The funds were not allowed to go to one media company or to one knowledge institution." (14_BP)</w:t>
      </w:r>
    </w:p>
    <w:p w14:paraId="563E4817" w14:textId="77777777" w:rsidR="00CB4DA1" w:rsidRDefault="00CB4DA1" w:rsidP="00CB4DA1">
      <w:r>
        <w:t xml:space="preserve">Second, the short time window to set up consortia and writing proposals was experienced as a barrier for small organisations not having resources and personnel at their disposal to quickly act. </w:t>
      </w:r>
    </w:p>
    <w:p w14:paraId="2E607219" w14:textId="77777777" w:rsidR="00CB4DA1" w:rsidRDefault="00CB4DA1" w:rsidP="00CB4DA1">
      <w:pPr>
        <w:ind w:left="720"/>
        <w:rPr>
          <w:i/>
          <w:iCs/>
        </w:rPr>
      </w:pPr>
      <w:r>
        <w:rPr>
          <w:i/>
          <w:iCs/>
        </w:rPr>
        <w:t>"Larger organisations such as companies often already have a team or department for that [writing proposals]. And we don't have them. So we have to sacrifice someone's priority for that anyway." (28_NP)</w:t>
      </w:r>
    </w:p>
    <w:p w14:paraId="4505F775" w14:textId="77777777" w:rsidR="00CB4DA1" w:rsidRDefault="00CB4DA1" w:rsidP="00CB4DA1">
      <w:r>
        <w:t xml:space="preserve">Third, the call documentation was perceived as ambiguous and open for interpretation, particularly regarding the expected outcomes and what was defined as innovation. </w:t>
      </w:r>
    </w:p>
    <w:p w14:paraId="10F31D32" w14:textId="77777777" w:rsidR="00CB4DA1" w:rsidRDefault="00CB4DA1" w:rsidP="00CB4DA1">
      <w:pPr>
        <w:ind w:left="720"/>
        <w:rPr>
          <w:i/>
          <w:iCs/>
        </w:rPr>
      </w:pPr>
      <w:r>
        <w:rPr>
          <w:i/>
          <w:iCs/>
        </w:rPr>
        <w:t>"This call came in parallel and had very little content. It was actually a bit of guessing what the expectations were." (01_BP)</w:t>
      </w:r>
    </w:p>
    <w:p w14:paraId="59B3CAE6" w14:textId="77777777" w:rsidR="00CB4DA1" w:rsidRDefault="00CB4DA1" w:rsidP="00CB4DA1">
      <w:r>
        <w:t xml:space="preserve">These accounts indicate that Phase 1 constraints were not limited to material resources (time, staff), but also involved interpretive and relational work: applicants </w:t>
      </w:r>
      <w:r>
        <w:lastRenderedPageBreak/>
        <w:t>had to translate the call into a plausible innovation narrative while assembling a consortium that signalled credibility to evaluators.</w:t>
      </w:r>
    </w:p>
    <w:p w14:paraId="617BBB2F" w14:textId="77777777" w:rsidR="00CB4DA1" w:rsidRDefault="00CB4DA1" w:rsidP="00CB4DA1">
      <w:pPr>
        <w:ind w:firstLine="720"/>
      </w:pPr>
      <w:r>
        <w:t xml:space="preserve">In theoretical terms, these Phase 1 accounts can be read as boundary work around “who gets to count” as an innovation-capable actor and what counts as “fundable” innovation. Specifically, informants describe consortium invitation rules (or its “club like” nature) and grant-writing expertise as the boundary mechanism of gatekeeping. At the same time, the pressure to produce a proposal legible to funders reflect institutional constraints: the ad hoc nature of the programme and the short time window to prepare a proposal intersected with newsroom deadlines and a risk averted stance common for news organisations. Where call expectations were perceived as elastic (mimetic pressure: copying previous formats and partners) or as one informant puts it: “long story short, very vague” (02_BP). </w:t>
      </w:r>
    </w:p>
    <w:p w14:paraId="62C8EDE9" w14:textId="77777777" w:rsidR="00CB4DA1" w:rsidRDefault="00CB4DA1" w:rsidP="00CB4DA1">
      <w:pPr>
        <w:ind w:firstLine="720"/>
        <w:rPr>
          <w:b/>
          <w:bCs/>
        </w:rPr>
      </w:pPr>
      <w:r>
        <w:t>The consequence is an early phase-sorting mechanism in which grant-capable organisations can translate institutional familiarity into proposal legitimacy, while resource-constrained outlets face higher entry costs or become dependent on consortium roles offered by others.</w:t>
      </w:r>
    </w:p>
    <w:p w14:paraId="515BFCCE" w14:textId="77777777" w:rsidR="00CB4DA1" w:rsidRDefault="00CB4DA1" w:rsidP="00CB4DA1">
      <w:pPr>
        <w:pStyle w:val="Kop3"/>
      </w:pPr>
      <w:bookmarkStart w:id="17" w:name="_xlvj6e6ua29v" w:colFirst="0" w:colLast="0"/>
      <w:bookmarkEnd w:id="17"/>
      <w:r>
        <w:t>Consortium formation and “invitation economies”</w:t>
      </w:r>
    </w:p>
    <w:p w14:paraId="50FE39A9" w14:textId="77777777" w:rsidR="00CB4DA1" w:rsidRDefault="00CB4DA1" w:rsidP="00CB4DA1">
      <w:r>
        <w:t>Consortium formation operated as an “invitation economy” in which access to credible partners, and thus access to the call itself, was uneven. Informants reported that consortia were often assembled through prior collaborations and informal ties, producing a pattern where big, legacy news organisations frequently took on a leading role.</w:t>
      </w:r>
    </w:p>
    <w:p w14:paraId="43F6E588" w14:textId="77777777" w:rsidR="00CB4DA1" w:rsidRDefault="00CB4DA1" w:rsidP="00CB4DA1">
      <w:pPr>
        <w:ind w:left="720"/>
        <w:rPr>
          <w:i/>
          <w:iCs/>
        </w:rPr>
      </w:pPr>
      <w:r>
        <w:rPr>
          <w:i/>
          <w:iCs/>
        </w:rPr>
        <w:lastRenderedPageBreak/>
        <w:t>"In that sense, it was important to know the right people to be able to do it". (01_BP)</w:t>
      </w:r>
    </w:p>
    <w:p w14:paraId="71D063C7" w14:textId="77777777" w:rsidR="00CB4DA1" w:rsidRDefault="00CB4DA1" w:rsidP="00CB4DA1">
      <w:pPr>
        <w:ind w:left="720"/>
      </w:pPr>
      <w:r>
        <w:rPr>
          <w:i/>
          <w:iCs/>
        </w:rPr>
        <w:t>"It is a political game and ‘who-knows-who’, not always about the best man for the job". (03_NP)</w:t>
      </w:r>
      <w:r>
        <w:t xml:space="preserve"> </w:t>
      </w:r>
    </w:p>
    <w:p w14:paraId="6290AD2C" w14:textId="77777777" w:rsidR="00CB4DA1" w:rsidRDefault="00CB4DA1" w:rsidP="00CB4DA1">
      <w:pPr>
        <w:rPr>
          <w:i/>
          <w:iCs/>
        </w:rPr>
      </w:pPr>
      <w:r>
        <w:t>Informants described difficulty securing a place in consortia or the inability to commit staff within the call window.</w:t>
      </w:r>
    </w:p>
    <w:p w14:paraId="63504FC4" w14:textId="77777777" w:rsidR="00CB4DA1" w:rsidRDefault="00CB4DA1" w:rsidP="00CB4DA1">
      <w:pPr>
        <w:ind w:left="720"/>
        <w:rPr>
          <w:i/>
          <w:iCs/>
        </w:rPr>
      </w:pPr>
      <w:r>
        <w:rPr>
          <w:i/>
          <w:iCs/>
        </w:rPr>
        <w:t>“Consortia were often composed of players already in the network, they could quickly fall back on those networks to meet deadlines.” (07_NP)</w:t>
      </w:r>
    </w:p>
    <w:p w14:paraId="1B1109CB" w14:textId="77777777" w:rsidR="00CB4DA1" w:rsidRDefault="00CB4DA1" w:rsidP="00CB4DA1">
      <w:pPr>
        <w:ind w:left="720"/>
        <w:rPr>
          <w:i/>
          <w:iCs/>
        </w:rPr>
      </w:pPr>
      <w:r>
        <w:rPr>
          <w:i/>
          <w:iCs/>
        </w:rPr>
        <w:t>"You can't expect [small news organisations] to give someone three weeks off to write at the risk of not having [success], and actually cutting themselves even more". (13_SP)</w:t>
      </w:r>
    </w:p>
    <w:p w14:paraId="77B16053" w14:textId="77777777" w:rsidR="00CB4DA1" w:rsidRDefault="00CB4DA1" w:rsidP="00CB4DA1">
      <w:r>
        <w:t>These statements suggest that, before evaluation even occurred, participation depended on relational capacity to mobilise partners and align with established actors.</w:t>
      </w:r>
    </w:p>
    <w:p w14:paraId="6AC9371A" w14:textId="77777777" w:rsidR="00CB4DA1" w:rsidRDefault="00CB4DA1" w:rsidP="00CB4DA1">
      <w:pPr>
        <w:ind w:firstLine="720"/>
      </w:pPr>
      <w:r>
        <w:t xml:space="preserve">Consortium formation can be conceptualised as a key site of boundary work in which incumbents and well-positioned intermediaries enact and reproduce the boundary between core innovators and peripheral contributors. The reported dynamics indicate boundary practices of role demarcation and access control, which shape not only entry but also subsequent governance in later phases. </w:t>
      </w:r>
    </w:p>
    <w:p w14:paraId="4453D077" w14:textId="77777777" w:rsidR="00CB4DA1" w:rsidRDefault="00CB4DA1" w:rsidP="00CB4DA1">
      <w:pPr>
        <w:ind w:firstLine="720"/>
      </w:pPr>
      <w:r>
        <w:t xml:space="preserve">From an institutional perspective, these invitation economies reflect field-level legitimacy dynamics: organisations perceived as carrying reputational capital (e.g., the ‘big four’) serve as anchors that make proposals appear evaluatively credible within the programme’s institutional environment. Where smaller actors participate, </w:t>
      </w:r>
      <w:r>
        <w:lastRenderedPageBreak/>
        <w:t>they often do so under conditions of dependent inclusion, consistent with early-phase stratification that can compound across later phases.</w:t>
      </w:r>
    </w:p>
    <w:p w14:paraId="5E712DFC" w14:textId="77777777" w:rsidR="00CB4DA1" w:rsidRDefault="00CB4DA1" w:rsidP="00CB4DA1">
      <w:pPr>
        <w:ind w:firstLine="720"/>
      </w:pPr>
      <w:r>
        <w:t>However, not all accounts fit this pattern. On a few occasions, a small outlet successfully led a proposal, i.e., ‘breaking through the barriers’ at this phase.</w:t>
      </w:r>
    </w:p>
    <w:p w14:paraId="36FE04B3" w14:textId="77777777" w:rsidR="00CB4DA1" w:rsidRDefault="00CB4DA1" w:rsidP="00CB4DA1">
      <w:pPr>
        <w:pStyle w:val="Kop2"/>
      </w:pPr>
      <w:bookmarkStart w:id="18" w:name="_qncftyn0pknq" w:colFirst="0" w:colLast="0"/>
      <w:bookmarkEnd w:id="18"/>
      <w:r>
        <w:t>Phase 2. Implementation: Governance, capacity, and the organisation of innovation work</w:t>
      </w:r>
    </w:p>
    <w:p w14:paraId="4A070CEF" w14:textId="77777777" w:rsidR="00CB4DA1" w:rsidRDefault="00CB4DA1" w:rsidP="00CB4DA1">
      <w:r>
        <w:t>Informants described Phase 2 as shaped by a dominant lead, oftentimes a big news organisation, administrative and procurement burdens, and a misfit between project rhythms and newsroom routines. These dynamics influenced who performed which kinds of work, who made key decisions, and how project knowledge circulated within and beyond the consortium.</w:t>
      </w:r>
    </w:p>
    <w:p w14:paraId="0B8818B9" w14:textId="77777777" w:rsidR="00CB4DA1" w:rsidRDefault="00CB4DA1" w:rsidP="00CB4DA1">
      <w:pPr>
        <w:pStyle w:val="Kop3"/>
      </w:pPr>
      <w:bookmarkStart w:id="19" w:name="_epm4n9ive2hj" w:colFirst="0" w:colLast="0"/>
      <w:bookmarkEnd w:id="19"/>
      <w:r>
        <w:t>Consortium governance</w:t>
      </w:r>
    </w:p>
    <w:p w14:paraId="7F293A42" w14:textId="77777777" w:rsidR="00CB4DA1" w:rsidRDefault="00CB4DA1" w:rsidP="00CB4DA1">
      <w:r>
        <w:t xml:space="preserve">A central implementation theme was the concentration of agenda-setting authority in the hands of lead applicants and dominant partners. Informants reported that the lead partner typically controlled workplan revisions, deliverable definition and the meeting agenda. </w:t>
      </w:r>
    </w:p>
    <w:p w14:paraId="6BACF9FF" w14:textId="77777777" w:rsidR="00CB4DA1" w:rsidRDefault="00CB4DA1" w:rsidP="00CB4DA1">
      <w:pPr>
        <w:ind w:left="720"/>
        <w:rPr>
          <w:i/>
          <w:iCs/>
        </w:rPr>
      </w:pPr>
      <w:r>
        <w:rPr>
          <w:i/>
          <w:iCs/>
        </w:rPr>
        <w:t>“Taking the lead allowed us to steer and control the aspect a little bit more and push it in a kind of direction where we felt it should go.” (11_BP)</w:t>
      </w:r>
    </w:p>
    <w:p w14:paraId="65FFADEF" w14:textId="77777777" w:rsidR="00CB4DA1" w:rsidRDefault="00CB4DA1" w:rsidP="00CB4DA1">
      <w:r>
        <w:t>Several informants described peripheral partners as executing discrete tasks with limited influence over scope decisions or strategic direction.</w:t>
      </w:r>
    </w:p>
    <w:p w14:paraId="1CC0A53C" w14:textId="77777777" w:rsidR="00CB4DA1" w:rsidRDefault="00CB4DA1" w:rsidP="00CB4DA1">
      <w:pPr>
        <w:ind w:left="720"/>
        <w:rPr>
          <w:i/>
          <w:iCs/>
        </w:rPr>
      </w:pPr>
      <w:r>
        <w:rPr>
          <w:i/>
          <w:iCs/>
        </w:rPr>
        <w:lastRenderedPageBreak/>
        <w:t>“Our work package was considered "peripheral" to the project’s "essence".“ (10_BP)</w:t>
      </w:r>
    </w:p>
    <w:p w14:paraId="258FA87E" w14:textId="77777777" w:rsidR="00CB4DA1" w:rsidRDefault="00CB4DA1" w:rsidP="00CB4DA1">
      <w:pPr>
        <w:ind w:left="720"/>
        <w:rPr>
          <w:i/>
          <w:iCs/>
        </w:rPr>
      </w:pPr>
      <w:r>
        <w:rPr>
          <w:i/>
          <w:iCs/>
        </w:rPr>
        <w:t>“We were concerned that the commercial benefits of the collaboration will not be shared equally, with peripheral partners effectively helping a dominant partner build a product we would later have to pay to use.” (10_Pa10a)</w:t>
      </w:r>
    </w:p>
    <w:p w14:paraId="133FBE5F" w14:textId="77777777" w:rsidR="00CB4DA1" w:rsidRDefault="00CB4DA1" w:rsidP="00CB4DA1">
      <w:pPr>
        <w:ind w:left="720"/>
        <w:rPr>
          <w:i/>
          <w:iCs/>
        </w:rPr>
      </w:pPr>
      <w:r>
        <w:rPr>
          <w:i/>
          <w:iCs/>
        </w:rPr>
        <w:t>“The lead acted like the ‘police of the group’, pushing others to deliver promised tasks within tight 24-month windows and keeping the project aligned with the original proposal.” (10_Pa10b)</w:t>
      </w:r>
    </w:p>
    <w:p w14:paraId="0F76F8C3" w14:textId="77777777" w:rsidR="00CB4DA1" w:rsidRDefault="00CB4DA1" w:rsidP="00CB4DA1">
      <w:r>
        <w:t>In practice, governance arrangements often reproduced the role distribution established during application: actors with proposal-writing capacity and field legitimacy frequently retained control over coordination and narrative framing during implementation.</w:t>
      </w:r>
      <w:r>
        <w:br/>
      </w:r>
      <w:r>
        <w:tab/>
        <w:t>Interpreted through boundary work, these accounts suggest that Phase 2 is a key site of boundary maintenance: boundaries drawn in Phase 1 (core innovators vs contributors) are stabilised via governance practices that allocate decision rights and define what counts as “innovation work.” Lead partners’ control over deliverables, reporting narratives, and scope changes constitutes boundary work in the form of role demarcation and meaning control (i.e., defining the problem and its legitimate solutions). This is not merely administrative: by controlling project interpretation and external representation, central actors can consolidate reputational capital while peripheral actors remain less visible. The mechanism here is that governance infrastructure becomes a boundary object, apparently neutral procedures (agendas, reports, deliverable templates) through which legitimacy and authority are enacted and reproduced.</w:t>
      </w:r>
    </w:p>
    <w:p w14:paraId="623217CC" w14:textId="77777777" w:rsidR="00CB4DA1" w:rsidRDefault="00CB4DA1" w:rsidP="00CB4DA1">
      <w:pPr>
        <w:pStyle w:val="Kop3"/>
      </w:pPr>
      <w:bookmarkStart w:id="20" w:name="_vyief0mt8hjm" w:colFirst="0" w:colLast="0"/>
      <w:bookmarkEnd w:id="20"/>
      <w:r>
        <w:lastRenderedPageBreak/>
        <w:t>Administrative load and compliance, as implementation barriers</w:t>
      </w:r>
    </w:p>
    <w:p w14:paraId="36C7C779" w14:textId="77777777" w:rsidR="00CB4DA1" w:rsidRDefault="00CB4DA1" w:rsidP="00CB4DA1">
      <w:r>
        <w:t>A second recurring theme concerned the administrative weight of compliance requirements. Informants emphasised the ongoing administrative load and compliance of designated tasks as key sources of friction.</w:t>
      </w:r>
    </w:p>
    <w:p w14:paraId="293C490C" w14:textId="77777777" w:rsidR="00CB4DA1" w:rsidRDefault="00CB4DA1" w:rsidP="00CB4DA1">
      <w:pPr>
        <w:ind w:left="720"/>
      </w:pPr>
      <w:r>
        <w:rPr>
          <w:i/>
          <w:iCs/>
        </w:rPr>
        <w:t>"Larger organisations often already have a team or department for that [writing proposals]. And we don't have them. So we have to sacrifice someone's priority for that anyway." (28_NP)</w:t>
      </w:r>
    </w:p>
    <w:p w14:paraId="08CB0DE8" w14:textId="77777777" w:rsidR="00CB4DA1" w:rsidRDefault="00CB4DA1" w:rsidP="00CB4DA1">
      <w:pPr>
        <w:rPr>
          <w:i/>
          <w:iCs/>
        </w:rPr>
      </w:pPr>
      <w:r>
        <w:t>Smaller organisations and those with less formalised project-management capacity reported disproportionate strain, including time diversion from editorial production and difficulties onboarding specialised staff within project timelines.</w:t>
      </w:r>
    </w:p>
    <w:p w14:paraId="70E127C3" w14:textId="77777777" w:rsidR="00CB4DA1" w:rsidRDefault="00CB4DA1" w:rsidP="00CB4DA1">
      <w:pPr>
        <w:ind w:left="720"/>
        <w:rPr>
          <w:i/>
          <w:iCs/>
        </w:rPr>
      </w:pPr>
      <w:r>
        <w:rPr>
          <w:i/>
          <w:iCs/>
        </w:rPr>
        <w:t>"There is the administrative burden of taking notes every time. So yes, that's definitely a barrier for them [news organisations], and it clashes with the fast-paced news cycle". (11_Pa11)</w:t>
      </w:r>
    </w:p>
    <w:p w14:paraId="08BF63AC" w14:textId="77777777" w:rsidR="00CB4DA1" w:rsidRDefault="00CB4DA1" w:rsidP="00CB4DA1">
      <w:r>
        <w:t>While compliance structures are standard within public funding schemes, informants described them as interacting with news organisations’ operational realities, particularly continuous production imperatives and limited slack time.</w:t>
      </w:r>
      <w:r>
        <w:br/>
      </w:r>
      <w:r>
        <w:tab/>
        <w:t xml:space="preserve">From an institutional perspective, these implementation frictions can be conceptualised as an interaction between coercive pressures embedded in the funding instrument (reporting, accountability, procurement rules) and normative pressures embedded in journalistic organisations (continuous publishing rhythms, prioritising immediacy, limited tolerance for workflow disruption). Where organisations have dedicated grant-management capacity, coercive requirements become routinised; where they do not, these requirements produce a de facto participation penalty and can push smaller actors into dependent roles (becoming a </w:t>
      </w:r>
      <w:r>
        <w:lastRenderedPageBreak/>
        <w:t>“customer”). This supports the argument that inequality is produced not only by resources but by differential institutional fit: the programme’s administrative rationality aligns more closely with organisations already accustomed to project-based work.</w:t>
      </w:r>
    </w:p>
    <w:p w14:paraId="315F6C77" w14:textId="77777777" w:rsidR="00CB4DA1" w:rsidRDefault="00CB4DA1" w:rsidP="00CB4DA1">
      <w:pPr>
        <w:pStyle w:val="Kop3"/>
      </w:pPr>
      <w:bookmarkStart w:id="21" w:name="_vlmvpae15jup" w:colFirst="0" w:colLast="0"/>
      <w:bookmarkEnd w:id="21"/>
      <w:r>
        <w:t>Innovation work versus newsroom routines: temporal and cultural misalignment</w:t>
      </w:r>
    </w:p>
    <w:p w14:paraId="34D0E6CD" w14:textId="77777777" w:rsidR="00CB4DA1" w:rsidRDefault="00CB4DA1" w:rsidP="00CB4DA1">
      <w:r>
        <w:t>A third theme involved tensions between project time and newsroom time. Informants described difficulties integrating experimentation into editorial workflows, including clashes between iterative development cycles and production deadlines, uncertainty about ownership of innovation tasks, and scepticism toward externally driven project logics.</w:t>
      </w:r>
    </w:p>
    <w:p w14:paraId="4D330A95" w14:textId="77777777" w:rsidR="00CB4DA1" w:rsidRDefault="00CB4DA1" w:rsidP="00CB4DA1">
      <w:pPr>
        <w:ind w:left="720"/>
      </w:pPr>
      <w:r>
        <w:rPr>
          <w:i/>
          <w:iCs/>
        </w:rPr>
        <w:t>"We have to scratch every day to fill a website with the few people we have that is worth paying a subscription fee... to say that we need to ‘innovate’ to make it all run smoothly, I don't know." (07_NP)</w:t>
      </w:r>
    </w:p>
    <w:p w14:paraId="3A29D43D" w14:textId="77777777" w:rsidR="00CB4DA1" w:rsidRDefault="00CB4DA1" w:rsidP="00CB4DA1">
      <w:pPr>
        <w:rPr>
          <w:rFonts w:ascii="Times New Roman" w:eastAsia="Times New Roman" w:hAnsi="Times New Roman" w:cs="Times New Roman"/>
          <w:i/>
          <w:iCs/>
          <w:highlight w:val="yellow"/>
        </w:rPr>
      </w:pPr>
      <w:r>
        <w:t>This was articulated as technological innovation not being the “core business” of (small) newsrooms, the risk averse nature of news organisations, and the necessity to prioritise day-to-day tasks aligned with the news cycle.</w:t>
      </w:r>
    </w:p>
    <w:p w14:paraId="71C00764" w14:textId="77777777" w:rsidR="00CB4DA1" w:rsidRDefault="00CB4DA1" w:rsidP="00CB4DA1">
      <w:pPr>
        <w:ind w:left="720"/>
        <w:rPr>
          <w:i/>
          <w:iCs/>
        </w:rPr>
      </w:pPr>
      <w:r>
        <w:rPr>
          <w:i/>
          <w:iCs/>
        </w:rPr>
        <w:t>"I know for a fact that media companies are pretty risk-averse in that sense... the funding convinced them to dedicate time to this." (6_Pa6)</w:t>
      </w:r>
    </w:p>
    <w:p w14:paraId="6EE8825C" w14:textId="77777777" w:rsidR="00CB4DA1" w:rsidRDefault="00CB4DA1" w:rsidP="00CB4DA1">
      <w:pPr>
        <w:ind w:left="720"/>
        <w:rPr>
          <w:i/>
          <w:iCs/>
        </w:rPr>
      </w:pPr>
      <w:r>
        <w:rPr>
          <w:i/>
          <w:iCs/>
        </w:rPr>
        <w:t>"They are in a commercial environment where time is money, and where there is not much room for failure... Innovation is a very difficult mindset in this environment." (2_Pa2)</w:t>
      </w:r>
    </w:p>
    <w:p w14:paraId="68DDE726" w14:textId="77777777" w:rsidR="00CB4DA1" w:rsidRDefault="00CB4DA1" w:rsidP="00CB4DA1">
      <w:r>
        <w:lastRenderedPageBreak/>
        <w:t>Some informants reported that innovation tasks were effectively decoupled from editorial practice, completed to meet deliverables but not embedded, while others described more successful integration where dedicated teams, such as innovation labs, were present.</w:t>
      </w:r>
      <w:r>
        <w:br/>
      </w:r>
      <w:r>
        <w:tab/>
        <w:t>These accounts resonate with institutional theory’s emphasis on the stability of organisational routines and legitimacy-seeking. Where innovation projects conflict with dominant newsroom logics (speed, immediacy, risk minimisation), organisations may engage in decoupling: formally delivering project outputs while keeping core routines intact. This is particularly likely when innovation is framed as an externally funded obligation rather than an internally legitimated strategic priority. Conversely, where innovation is granted internal legitimacy, the same coercive funding requirements can become enabling rather than constraining. Phase 2 therefore reveals how institutional pressures shape not only participation but the quality and depth of innovation practice within funded projects.</w:t>
      </w:r>
    </w:p>
    <w:p w14:paraId="23F99405" w14:textId="77777777" w:rsidR="00CB4DA1" w:rsidRDefault="00CB4DA1" w:rsidP="00CB4DA1">
      <w:pPr>
        <w:pStyle w:val="Kop2"/>
      </w:pPr>
      <w:bookmarkStart w:id="22" w:name="_4gz9uix10ivj" w:colFirst="0" w:colLast="0"/>
      <w:bookmarkEnd w:id="22"/>
      <w:r>
        <w:t>Phase 3. Outputs: Deliverables, visibility, and the politics of openness</w:t>
      </w:r>
    </w:p>
    <w:p w14:paraId="38B036EB" w14:textId="77777777" w:rsidR="00CB4DA1" w:rsidRDefault="00CB4DA1" w:rsidP="00CB4DA1">
      <w:r>
        <w:t>Informants described Phase 3 as shaped by KPI logics and deliverable compliance, visibility and credit allocation, and selective openness and reuse constraints. These dynamics affected which actors accrued reputational benefits from innovation and whether outputs became shared sectoral resources or organisation-specific assets.</w:t>
      </w:r>
    </w:p>
    <w:p w14:paraId="5B37AA90" w14:textId="77777777" w:rsidR="00CB4DA1" w:rsidRDefault="00CB4DA1" w:rsidP="00CB4DA1">
      <w:pPr>
        <w:pStyle w:val="Kop3"/>
      </w:pPr>
      <w:bookmarkStart w:id="23" w:name="_1mdwmhb5g6ug" w:colFirst="0" w:colLast="0"/>
      <w:bookmarkEnd w:id="23"/>
      <w:r>
        <w:lastRenderedPageBreak/>
        <w:t>Deliverable logics: metrics, compliance, and what counts as “success”</w:t>
      </w:r>
    </w:p>
    <w:p w14:paraId="01974450" w14:textId="77777777" w:rsidR="00CB4DA1" w:rsidRDefault="00CB4DA1" w:rsidP="00CB4DA1">
      <w:r>
        <w:t>Outputs were oriented toward deliverables that were legible to the funding instrument, often framed as prototypes or proof of concepts, with success assessed through achieving milestones and showcasing developed tools.</w:t>
      </w:r>
    </w:p>
    <w:p w14:paraId="2324570E" w14:textId="77777777" w:rsidR="00CB4DA1" w:rsidRDefault="00CB4DA1" w:rsidP="00CB4DA1">
      <w:pPr>
        <w:ind w:left="720"/>
      </w:pPr>
      <w:r>
        <w:rPr>
          <w:i/>
          <w:iCs/>
        </w:rPr>
        <w:t>“This created a "strange dynamic" where the project was less about open research and more about "co-development of a product" where one partner would eventually own and commercialize the tool.” (10_BP)</w:t>
      </w:r>
    </w:p>
    <w:p w14:paraId="442C6B16" w14:textId="77777777" w:rsidR="00CB4DA1" w:rsidRDefault="00CB4DA1" w:rsidP="00CB4DA1">
      <w:pPr>
        <w:rPr>
          <w:rFonts w:ascii="Times New Roman" w:eastAsia="Times New Roman" w:hAnsi="Times New Roman" w:cs="Times New Roman"/>
          <w:i/>
          <w:iCs/>
          <w:highlight w:val="yellow"/>
        </w:rPr>
      </w:pPr>
      <w:r>
        <w:t>Informants indicated that this encouraged a focus on deliverable completion sometimes at the expense of longer-term embedding and sector-wide reusability.</w:t>
      </w:r>
    </w:p>
    <w:p w14:paraId="7714F668" w14:textId="77777777" w:rsidR="00CB4DA1" w:rsidRDefault="00CB4DA1" w:rsidP="00CB4DA1">
      <w:pPr>
        <w:ind w:left="720"/>
        <w:rPr>
          <w:i/>
          <w:iCs/>
        </w:rPr>
      </w:pPr>
      <w:r>
        <w:rPr>
          <w:i/>
          <w:iCs/>
        </w:rPr>
        <w:t>"We had to deliver what [we] promised on time, even if it meant curbing more exploratory innovation.” (10_Pa10)</w:t>
      </w:r>
    </w:p>
    <w:p w14:paraId="7A3DD9FB" w14:textId="77777777" w:rsidR="00CB4DA1" w:rsidRDefault="00CB4DA1" w:rsidP="00CB4DA1">
      <w:pPr>
        <w:ind w:left="720"/>
        <w:rPr>
          <w:i/>
          <w:iCs/>
        </w:rPr>
      </w:pPr>
      <w:r>
        <w:rPr>
          <w:i/>
          <w:iCs/>
        </w:rPr>
        <w:t>"Because of this one-off collaboration we only worked with these partners, and did not talk to other companies in the meantime". (10_Pa10b)</w:t>
      </w:r>
    </w:p>
    <w:p w14:paraId="31E06919" w14:textId="77777777" w:rsidR="00CB4DA1" w:rsidRDefault="00CB4DA1" w:rsidP="00CB4DA1">
      <w:r>
        <w:t>These output orientations can be read through institutional theory as a tension between legitimacy-seeking and substantive organisational change. The programme’s accountability regime (deliverables, KPIs, reporting formats) functions as a coercive institutional pressure that incentivises symbolic compliance: producing outputs that are evaluatively legible even where deeper adoption is uncertain. Where informants describe outputs as primarily demonstrative, this aligns with decoupling, formal adherence to externally valued metrics while core newsroom routines remain largely unchanged. Conversely, where outputs are integrated into workflows, the findings suggest a stronger coupling between project outputs and organisational logics, typically enabled by internal legitimacy, stable resourcing, and audience alignment.</w:t>
      </w:r>
    </w:p>
    <w:p w14:paraId="092CA1C0" w14:textId="77777777" w:rsidR="00CB4DA1" w:rsidRDefault="00CB4DA1" w:rsidP="00CB4DA1">
      <w:pPr>
        <w:pStyle w:val="Kop3"/>
      </w:pPr>
      <w:bookmarkStart w:id="24" w:name="_26re0p9kg3m5" w:colFirst="0" w:colLast="0"/>
      <w:bookmarkEnd w:id="24"/>
      <w:r>
        <w:lastRenderedPageBreak/>
        <w:t>Visibility, attribution, and who gets recognised as innovating</w:t>
      </w:r>
    </w:p>
    <w:p w14:paraId="10460909" w14:textId="77777777" w:rsidR="00CB4DA1" w:rsidRDefault="00CB4DA1" w:rsidP="00CB4DA1">
      <w:r>
        <w:t xml:space="preserve">Informants reported that certain partners, often those occupying central governance roles, were more able to position themselves as the “face” of the project through showcases and industry events, while others felt their contributions were less visible or framed as supporting work. </w:t>
      </w:r>
    </w:p>
    <w:p w14:paraId="69D56047" w14:textId="77777777" w:rsidR="00CB4DA1" w:rsidRDefault="00CB4DA1" w:rsidP="00CB4DA1">
      <w:pPr>
        <w:ind w:left="720"/>
        <w:rPr>
          <w:i/>
          <w:iCs/>
        </w:rPr>
      </w:pPr>
      <w:r>
        <w:rPr>
          <w:i/>
          <w:iCs/>
        </w:rPr>
        <w:t>“We oversaw the project and facilitated the entries of others, the overall story that we stand for may have been lost a bit in the various results, while the individual partners were the ones who would run with the prizes." (20_D)</w:t>
      </w:r>
    </w:p>
    <w:p w14:paraId="39DB84F8" w14:textId="77777777" w:rsidR="00CB4DA1" w:rsidRDefault="00CB4DA1" w:rsidP="00CB4DA1">
      <w:pPr>
        <w:ind w:left="720"/>
        <w:rPr>
          <w:i/>
          <w:iCs/>
        </w:rPr>
      </w:pPr>
      <w:r>
        <w:rPr>
          <w:i/>
          <w:iCs/>
        </w:rPr>
        <w:t>“… leading these work packages contributes to our fame, our image, [and] our network." (10_BP)</w:t>
      </w:r>
    </w:p>
    <w:p w14:paraId="3588FDA1" w14:textId="77777777" w:rsidR="00CB4DA1" w:rsidRDefault="00CB4DA1" w:rsidP="00CB4DA1">
      <w:r>
        <w:t>Several accounts suggest that Phase 3 amplified earlier role stratification: actors who coordinated implementation frequently also controlled the outward narrative of success.</w:t>
      </w:r>
      <w:r>
        <w:br/>
      </w:r>
      <w:r>
        <w:tab/>
        <w:t>From a boundary-work perspective, Phase 3 is a critical arena for reputational boundary-making, the practical work of defining who is publicly recognised as an innovator and what forms of contribution are counted as innovation. Practices such as controlling dissemination venues, branding outputs, and curating demonstration narratives function as boundary mechanisms of visibility allocation and credentialing. This is consequential because recognition in Phase 3 feeds back into Phase 1 of subsequent calls: actors that successfully position themselves as innovators accrue symbolic capital that can translate into credibility, centrality in future consortia, and perceived entitlement to lead roles. Thus, output visibility is not merely communicative; it is an institutional resource.</w:t>
      </w:r>
    </w:p>
    <w:p w14:paraId="6376D3AA" w14:textId="77777777" w:rsidR="00CB4DA1" w:rsidRDefault="00CB4DA1" w:rsidP="00CB4DA1">
      <w:pPr>
        <w:pStyle w:val="Kop3"/>
      </w:pPr>
      <w:bookmarkStart w:id="25" w:name="_10oolms578ll" w:colFirst="0" w:colLast="0"/>
      <w:bookmarkEnd w:id="25"/>
      <w:r>
        <w:lastRenderedPageBreak/>
        <w:t>Openness, reuse, and the limits of “ecosystem” benefit</w:t>
      </w:r>
    </w:p>
    <w:p w14:paraId="60A31A37" w14:textId="77777777" w:rsidR="00CB4DA1" w:rsidRDefault="00CB4DA1" w:rsidP="00CB4DA1">
      <w:r>
        <w:t>While the programme’s ecosystem rationale suggests sector-wide spillovers, informants reported variation in whether outputs were shared as open-source tools, shared infrastructure and training materials or retained as proprietary tools kept “in-house”.</w:t>
      </w:r>
    </w:p>
    <w:p w14:paraId="6C319AAD" w14:textId="77777777" w:rsidR="00CB4DA1" w:rsidRDefault="00CB4DA1" w:rsidP="00CB4DA1">
      <w:pPr>
        <w:ind w:left="720"/>
        <w:rPr>
          <w:i/>
          <w:iCs/>
        </w:rPr>
      </w:pPr>
      <w:r>
        <w:rPr>
          <w:i/>
          <w:iCs/>
        </w:rPr>
        <w:t>“Accumulated expertise was frequently kept "in-house" rather than being disseminated to the wider media landscape.” (28_NP)</w:t>
      </w:r>
    </w:p>
    <w:p w14:paraId="4607D1DD" w14:textId="77777777" w:rsidR="00CB4DA1" w:rsidRDefault="00CB4DA1" w:rsidP="00CB4DA1">
      <w:pPr>
        <w:ind w:left="720"/>
        <w:rPr>
          <w:i/>
          <w:iCs/>
        </w:rPr>
      </w:pPr>
      <w:r>
        <w:rPr>
          <w:i/>
          <w:iCs/>
        </w:rPr>
        <w:t>“It is a shame that many media companies did not share knowledge structurally, with very few sessions actually organized to share lessons learned during the project.” (06_BP)</w:t>
      </w:r>
    </w:p>
    <w:p w14:paraId="350ADE3B" w14:textId="77777777" w:rsidR="00CB4DA1" w:rsidRDefault="00CB4DA1" w:rsidP="00CB4DA1">
      <w:r>
        <w:t>Some informants pointed to genuine ecosystem-oriented outputs (shared resources and cross-organisational learning), while others highlighted that outputs were not easily transferable beyond the consortium without dedicated post-project support.</w:t>
      </w:r>
    </w:p>
    <w:p w14:paraId="7CFC5A31" w14:textId="77777777" w:rsidR="00CB4DA1" w:rsidRDefault="00CB4DA1" w:rsidP="00CB4DA1">
      <w:pPr>
        <w:ind w:left="720"/>
        <w:rPr>
          <w:i/>
          <w:iCs/>
        </w:rPr>
      </w:pPr>
      <w:r>
        <w:rPr>
          <w:i/>
          <w:iCs/>
        </w:rPr>
        <w:t>“Why should the government fund projects where one company earns money from the result while the rest of the sector is charged for access?” (10_BP)</w:t>
      </w:r>
    </w:p>
    <w:p w14:paraId="781D050E" w14:textId="77777777" w:rsidR="00CB4DA1" w:rsidRDefault="00CB4DA1" w:rsidP="00CB4DA1">
      <w:pPr>
        <w:ind w:left="720"/>
      </w:pPr>
      <w:r>
        <w:rPr>
          <w:i/>
          <w:iCs/>
        </w:rPr>
        <w:t>“For many large media groups, the strategy of sharing is often "diametrically opposed" to their internal corporate strategy of keeping innovations secret for competitive advantage.” (16_LT / 17_LT)</w:t>
      </w:r>
    </w:p>
    <w:p w14:paraId="0C57E2A6" w14:textId="77777777" w:rsidR="00CB4DA1" w:rsidRDefault="00CB4DA1" w:rsidP="00CB4DA1">
      <w:r>
        <w:t xml:space="preserve">Analytically, variation in openness can be interpreted as the intersection of boundary work and competing institutional logics. Decisions about what to share, with whom, and under what conditions enact boundaries between the consortium and the wider field, and between public-value rationales and competitive market rationales. Where organisations practice “strategic openness,” they may be engaging in boundary work </w:t>
      </w:r>
      <w:r>
        <w:lastRenderedPageBreak/>
        <w:t xml:space="preserve">that protects competitive advantage while signalling conformity to an ecosystem discourse. </w:t>
      </w:r>
    </w:p>
    <w:p w14:paraId="229EB7D3" w14:textId="77777777" w:rsidR="00CB4DA1" w:rsidRDefault="00CB4DA1" w:rsidP="00CB4DA1">
      <w:pPr>
        <w:ind w:firstLine="720"/>
      </w:pPr>
      <w:r>
        <w:t>Institutional theory helps specify why: commercial pressures, audience competition, and reputational risk can render full openness institutionally costly, even where policy rationales encourage spillovers. The result is that the programme’s intended ecosystem benefits may be unevenly realised, with diffusion constrained unless accompanied by governance arrangements that institutionalise maintenance, user support, and reuse rights.</w:t>
      </w:r>
    </w:p>
    <w:p w14:paraId="3DFED200" w14:textId="77777777" w:rsidR="00CB4DA1" w:rsidRDefault="00CB4DA1" w:rsidP="00CB4DA1">
      <w:pPr>
        <w:pStyle w:val="Kop2"/>
      </w:pPr>
      <w:bookmarkStart w:id="26" w:name="_idz1hscb4mfk" w:colFirst="0" w:colLast="0"/>
      <w:bookmarkEnd w:id="26"/>
      <w:r>
        <w:t>Phase 4. Consolidation: Institutionalisation, sustainability, and post-grant trajectories</w:t>
      </w:r>
    </w:p>
    <w:p w14:paraId="73CB1440" w14:textId="77777777" w:rsidR="00CB4DA1" w:rsidRDefault="00CB4DA1" w:rsidP="00CB4DA1">
      <w:r>
        <w:t>Across interviews, informants described Phase 4 as shaped by an “end-of-funding cliff” and maintenance gap, institutionalisation versus abandonment, and cumulative advantage and follow-on credibility. While Phase 3 outputs were evaluated as deliverables, Phase 4 illuminates whether these deliverables translated into durable change and whether the programme’s ecosystem rationale materialised beyond the project window.</w:t>
      </w:r>
    </w:p>
    <w:p w14:paraId="50D4DBAD" w14:textId="77777777" w:rsidR="00CB4DA1" w:rsidRDefault="00CB4DA1" w:rsidP="00CB4DA1">
      <w:pPr>
        <w:pStyle w:val="Kop3"/>
      </w:pPr>
      <w:bookmarkStart w:id="27" w:name="_76nczfkxzf1h" w:colFirst="0" w:colLast="0"/>
      <w:bookmarkEnd w:id="27"/>
      <w:r>
        <w:t>Post-project maintenance and the “end-of-funding cliff”</w:t>
      </w:r>
    </w:p>
    <w:p w14:paraId="10FC6294" w14:textId="77777777" w:rsidR="00CB4DA1" w:rsidRDefault="00CB4DA1" w:rsidP="00CB4DA1">
      <w:r>
        <w:t>Informants reported that many deliverables required ongoing maintenance, such as technical support, content updates, user training, or infrastructure costs, that were not fully resourced beyond the project period.</w:t>
      </w:r>
    </w:p>
    <w:p w14:paraId="3D5E7C5E" w14:textId="77777777" w:rsidR="00CB4DA1" w:rsidRDefault="00CB4DA1" w:rsidP="00CB4DA1">
      <w:pPr>
        <w:ind w:left="720"/>
        <w:rPr>
          <w:i/>
          <w:iCs/>
        </w:rPr>
      </w:pPr>
      <w:r>
        <w:rPr>
          <w:i/>
          <w:iCs/>
        </w:rPr>
        <w:lastRenderedPageBreak/>
        <w:t>“Maintenance is a recurring issue, as evidenced by our tool that just doesn't work anymore because the external platform it scraped made changes and there was no funding to provide a solution for that. (15_D)</w:t>
      </w:r>
    </w:p>
    <w:p w14:paraId="6CD5E941" w14:textId="77777777" w:rsidR="00CB4DA1" w:rsidRDefault="00CB4DA1" w:rsidP="00CB4DA1">
      <w:pPr>
        <w:ind w:left="720"/>
      </w:pPr>
      <w:r>
        <w:rPr>
          <w:i/>
          <w:iCs/>
        </w:rPr>
        <w:t>“Our tools need updates every few months to stay effective,  maintenance financing would be a crucial addition to this programme.” (</w:t>
      </w:r>
      <w:r>
        <w:rPr>
          <w:i/>
          <w:iCs/>
          <w:highlight w:val="yellow"/>
        </w:rPr>
        <w:t>15_D</w:t>
      </w:r>
      <w:r>
        <w:rPr>
          <w:i/>
          <w:iCs/>
        </w:rPr>
        <w:t>)</w:t>
      </w:r>
    </w:p>
    <w:p w14:paraId="65624AE9" w14:textId="77777777" w:rsidR="00CB4DA1" w:rsidRDefault="00CB4DA1" w:rsidP="00CB4DA1">
      <w:r>
        <w:t>Several informants described a “handover gap” in which prototypes and tooling remained technically functional but lacked capacity for further development and support.</w:t>
      </w:r>
    </w:p>
    <w:p w14:paraId="06E0C6DB" w14:textId="77777777" w:rsidR="00CB4DA1" w:rsidRDefault="00CB4DA1" w:rsidP="00CB4DA1">
      <w:pPr>
        <w:ind w:left="720"/>
        <w:rPr>
          <w:i/>
          <w:iCs/>
        </w:rPr>
      </w:pPr>
      <w:r>
        <w:rPr>
          <w:i/>
          <w:iCs/>
        </w:rPr>
        <w:t>"We had to recruit people for the length of the project, leading to a situation where built-up expertise will be lost when funds are stopped.” (16_LT / 17_LT)</w:t>
      </w:r>
    </w:p>
    <w:p w14:paraId="78397CD9" w14:textId="77777777" w:rsidR="00CB4DA1" w:rsidRDefault="00CB4DA1" w:rsidP="00CB4DA1">
      <w:pPr>
        <w:ind w:left="720"/>
        <w:rPr>
          <w:rFonts w:ascii="Times New Roman" w:eastAsia="Times New Roman" w:hAnsi="Times New Roman" w:cs="Times New Roman"/>
          <w:i/>
          <w:iCs/>
          <w:highlight w:val="cyan"/>
        </w:rPr>
      </w:pPr>
      <w:r>
        <w:rPr>
          <w:i/>
          <w:iCs/>
        </w:rPr>
        <w:t>“Innovation projects are often not the core business of smaller newsrooms, they may lack the budget to put two or three people on a project without external support, meaning once the funding vanishes, the project lacks a ‘landing place’ in the organisation.” (07_NP)</w:t>
      </w:r>
    </w:p>
    <w:p w14:paraId="50778100" w14:textId="77777777" w:rsidR="00CB4DA1" w:rsidRDefault="00CB4DA1" w:rsidP="00CB4DA1">
      <w:r>
        <w:t>Some informants reported that maintenance was feasible only when outputs aligned with existing strategic priorities or when an organisation could absorb costs internally. Others noted that sector-wide reuse was limited when stewardship arrangements were not institutionalised.</w:t>
      </w:r>
      <w:r>
        <w:br/>
      </w:r>
      <w:r>
        <w:tab/>
        <w:t xml:space="preserve">From an institutional-theory perspective, these accounts suggest that the programme’s project-based design can foster </w:t>
      </w:r>
      <w:r>
        <w:rPr>
          <w:i/>
          <w:iCs/>
        </w:rPr>
        <w:t>projectification</w:t>
      </w:r>
      <w:r>
        <w:t xml:space="preserve">: innovation is organised as time-bound interventions that produce deliverables, but not necessarily durable organisational capacity. Where informants describe outputs that are delivered but not maintained, this indicates decoupling at the consolidation stage: formal compliance (delivery) is achieved without lasting integration into organisational routines or </w:t>
      </w:r>
      <w:r>
        <w:lastRenderedPageBreak/>
        <w:t>budgets. Consolidation therefore becomes a test of institutional fit; whether innovation outputs can be reconciled with dominant newsroom logics (cost control, production rhythms, risk minimisation) and whether organisations possess the structural slack to sustain change. The mechanism is that, absent follow-on funding or institutionalised stewardship, outputs revert to being “project artefacts” rather than field resources.</w:t>
      </w:r>
    </w:p>
    <w:p w14:paraId="139CB3B2" w14:textId="77777777" w:rsidR="00CB4DA1" w:rsidRDefault="00CB4DA1" w:rsidP="00CB4DA1">
      <w:pPr>
        <w:pStyle w:val="Kop3"/>
      </w:pPr>
      <w:bookmarkStart w:id="28" w:name="_bxgf9gtf0b2" w:colFirst="0" w:colLast="0"/>
      <w:bookmarkEnd w:id="28"/>
      <w:r>
        <w:t>Embedding into routines: ownership, pioneers, and organisational memory</w:t>
      </w:r>
    </w:p>
    <w:p w14:paraId="7DA66D35" w14:textId="77777777" w:rsidR="00CB4DA1" w:rsidRDefault="00CB4DA1" w:rsidP="00CB4DA1">
      <w:r>
        <w:t>Informants described consolidation as dependent on clear ownership and internal pioneers: outputs were more likely to persist when responsibility was assigned to a stable team, aligned to workflow needs, and backed by leadership. In other cases, innovation work remained marginal to core operations and was deprioritised once external reporting pressure ended.</w:t>
      </w:r>
    </w:p>
    <w:p w14:paraId="74B87746" w14:textId="77777777" w:rsidR="00CB4DA1" w:rsidRDefault="00CB4DA1" w:rsidP="00CB4DA1">
      <w:pPr>
        <w:ind w:left="720"/>
        <w:rPr>
          <w:i/>
          <w:iCs/>
        </w:rPr>
      </w:pPr>
      <w:r>
        <w:rPr>
          <w:i/>
          <w:iCs/>
        </w:rPr>
        <w:t>“It was an eye-opener for our editor-in-chief... “ (08_SP)</w:t>
      </w:r>
    </w:p>
    <w:p w14:paraId="63C49D5B" w14:textId="77777777" w:rsidR="00CB4DA1" w:rsidRDefault="00CB4DA1" w:rsidP="00CB4DA1">
      <w:pPr>
        <w:ind w:left="720"/>
        <w:rPr>
          <w:i/>
          <w:iCs/>
        </w:rPr>
      </w:pPr>
      <w:r>
        <w:rPr>
          <w:i/>
          <w:iCs/>
        </w:rPr>
        <w:t>“That's also why we decided to set up an AI team. So we no longer work under innovation, but for technology. And we do that specifically because it gives us much more support from different teams and allows us to work effectively towards implementation.” (04_BP)</w:t>
      </w:r>
    </w:p>
    <w:p w14:paraId="08D59FAD" w14:textId="77777777" w:rsidR="00CB4DA1" w:rsidRDefault="00CB4DA1" w:rsidP="00CB4DA1">
      <w:pPr>
        <w:ind w:left="720"/>
        <w:rPr>
          <w:i/>
          <w:iCs/>
        </w:rPr>
      </w:pPr>
      <w:r>
        <w:rPr>
          <w:i/>
          <w:iCs/>
        </w:rPr>
        <w:t>“It has now been scaled from innovation to the production floor. That is actually a success story.” (11_BP)</w:t>
      </w:r>
    </w:p>
    <w:p w14:paraId="065B6DBE" w14:textId="77777777" w:rsidR="00CB4DA1" w:rsidRDefault="00CB4DA1" w:rsidP="00CB4DA1">
      <w:pPr>
        <w:ind w:left="720"/>
        <w:rPr>
          <w:i/>
          <w:iCs/>
        </w:rPr>
      </w:pPr>
      <w:r>
        <w:rPr>
          <w:i/>
          <w:iCs/>
        </w:rPr>
        <w:t>‘“It's mainly about taking your own processes to a higher level.” (05_BP)</w:t>
      </w:r>
    </w:p>
    <w:p w14:paraId="7C8DC6D8" w14:textId="77777777" w:rsidR="00CB4DA1" w:rsidRDefault="00CB4DA1" w:rsidP="00CB4DA1">
      <w:pPr>
        <w:ind w:left="720"/>
        <w:rPr>
          <w:i/>
          <w:iCs/>
        </w:rPr>
      </w:pPr>
      <w:r>
        <w:rPr>
          <w:i/>
          <w:iCs/>
        </w:rPr>
        <w:t>“Without this support, innovation is difficult to get off the ground; we don't get that bandwidth from our management, that's a really big challenge.” (06_BP)</w:t>
      </w:r>
    </w:p>
    <w:p w14:paraId="66124ED8" w14:textId="77777777" w:rsidR="00CB4DA1" w:rsidRDefault="00CB4DA1" w:rsidP="00CB4DA1">
      <w:r>
        <w:lastRenderedPageBreak/>
        <w:t>Informants also noted that consolidation was shaped by staff turnover and recruitment constraints; where projects relied on temporary hires, the loss of personnel often meant loss of organisational memory and technical continuity.</w:t>
      </w:r>
      <w:r>
        <w:br/>
      </w:r>
      <w:r>
        <w:tab/>
        <w:t>Analytically, consolidation hinges on institutionalisation: whether new practices acquire internal legitimacy and become routinised. Where innovation remains weakly legitimated, organisations may revert to established scripts; where it is legitimated (through leadership sponsorship, workflow integration, and stable roles), outputs can be embedded. This can be framed as a path-dependent process: early decisions about ownership and organisational placement (often made in Phase 2 governance) shape the likelihood of later embedding. The implication is that consolidation is not simply “after the project,” but the cumulative outcome of earlier phase dynamics interacting with institutional constraints.</w:t>
      </w:r>
    </w:p>
    <w:p w14:paraId="67679067" w14:textId="77777777" w:rsidR="00CB4DA1" w:rsidRDefault="00CB4DA1" w:rsidP="00CB4DA1">
      <w:pPr>
        <w:pStyle w:val="Kop3"/>
      </w:pPr>
      <w:bookmarkStart w:id="29" w:name="_nbpj3opplyn7" w:colFirst="0" w:colLast="0"/>
      <w:bookmarkEnd w:id="29"/>
      <w:r>
        <w:t>Follow-on trajectories: cumulative advantage, reputational capital, and future access</w:t>
      </w:r>
    </w:p>
    <w:p w14:paraId="0B1BBAC1" w14:textId="77777777" w:rsidR="00CB4DA1" w:rsidRDefault="00CB4DA1" w:rsidP="00CB4DA1">
      <w:r>
        <w:t>Informants described that some organisations translated project participation into renewed legitimacy, becoming recurrent partners, recognised coordinators, or default nodes in future consortia.</w:t>
      </w:r>
    </w:p>
    <w:p w14:paraId="41D830D7" w14:textId="77777777" w:rsidR="00CB4DA1" w:rsidRDefault="00CB4DA1" w:rsidP="00CB4DA1">
      <w:pPr>
        <w:ind w:left="720"/>
        <w:rPr>
          <w:i/>
          <w:iCs/>
        </w:rPr>
      </w:pPr>
      <w:r>
        <w:rPr>
          <w:i/>
          <w:iCs/>
        </w:rPr>
        <w:t>“We became known as a party that is capable of getting things done and that can come up with a project plan fairly quickly.” (21_LT)</w:t>
      </w:r>
    </w:p>
    <w:p w14:paraId="1DD680D3" w14:textId="77777777" w:rsidR="00CB4DA1" w:rsidRDefault="00CB4DA1" w:rsidP="00CB4DA1">
      <w:pPr>
        <w:ind w:left="720"/>
        <w:rPr>
          <w:i/>
          <w:iCs/>
        </w:rPr>
      </w:pPr>
      <w:r>
        <w:rPr>
          <w:i/>
          <w:iCs/>
        </w:rPr>
        <w:t>“The networks that were built up during the call led to new consultations on project ideas that go beyond the original call.” (13_SP)</w:t>
      </w:r>
    </w:p>
    <w:p w14:paraId="4918D487" w14:textId="77777777" w:rsidR="00CB4DA1" w:rsidRDefault="00CB4DA1" w:rsidP="00CB4DA1">
      <w:pPr>
        <w:rPr>
          <w:i/>
          <w:iCs/>
        </w:rPr>
      </w:pPr>
      <w:r>
        <w:t>Whereas others experienced participation as episodic and difficult to leverage into sustained innovation capacity.</w:t>
      </w:r>
    </w:p>
    <w:p w14:paraId="589E0985" w14:textId="77777777" w:rsidR="00CB4DA1" w:rsidRDefault="00CB4DA1" w:rsidP="00CB4DA1">
      <w:pPr>
        <w:ind w:left="720"/>
        <w:rPr>
          <w:i/>
          <w:iCs/>
        </w:rPr>
      </w:pPr>
      <w:r>
        <w:rPr>
          <w:i/>
          <w:iCs/>
        </w:rPr>
        <w:lastRenderedPageBreak/>
        <w:t>“Collaboration only takes place within the timeframe of the calls. Afterwards everyone goes their own way.” (3_Pa3)</w:t>
      </w:r>
    </w:p>
    <w:p w14:paraId="41E02249" w14:textId="77777777" w:rsidR="00CB4DA1" w:rsidRDefault="00CB4DA1" w:rsidP="00CB4DA1">
      <w:pPr>
        <w:ind w:left="720"/>
        <w:rPr>
          <w:i/>
          <w:iCs/>
        </w:rPr>
      </w:pPr>
      <w:r>
        <w:rPr>
          <w:i/>
          <w:iCs/>
        </w:rPr>
        <w:t>“It is difficult for smaller players to move on to larger (e.g. EU) calls, as they often lack the resources to make the necessary own contribution or to bear the administrative process.” (15_D / 28_NP)</w:t>
      </w:r>
    </w:p>
    <w:p w14:paraId="4E9024BC" w14:textId="77777777" w:rsidR="00CB4DA1" w:rsidRDefault="00CB4DA1" w:rsidP="00CB4DA1">
      <w:r>
        <w:t>Several informants suggested that organisations already central to the sector could more readily convert outputs into enduring credibility, while small actors struggled to retain capability or visibility once funding ended.</w:t>
      </w:r>
      <w:r>
        <w:br/>
      </w:r>
      <w:r>
        <w:tab/>
        <w:t>This pattern can be interpreted as a consolidation-stage interaction between boundary work and institutional legitimacy. Boundary work is visible where recognition and future access are selectively distributed: being positioned as a credible innovator (Phase 3 visibility) becomes a credential that facilitates future invitations, lead roles, and agenda-setting power. Institutional theory sharpens the mechanism: innovation credentials function as legitimacy signals within the field, lowering transaction costs for future consortia formation and making some actors the “safe choice” for evaluators and partners. The consolidation phase thus risks reinforcing cumulative advantage: those able to sustain outputs and convert them into legitimacy accumulate further opportunities, while those unable to sustain work may be relegated to peripheral or episodic participation.</w:t>
      </w:r>
    </w:p>
    <w:p w14:paraId="0ADE0E73" w14:textId="77777777" w:rsidR="00CB4DA1" w:rsidRDefault="00CB4DA1" w:rsidP="00CB4DA1">
      <w:pPr>
        <w:pStyle w:val="Kop2"/>
      </w:pPr>
      <w:bookmarkStart w:id="30" w:name="_kqboaoqd3uv3" w:colFirst="0" w:colLast="0"/>
      <w:bookmarkEnd w:id="30"/>
      <w:r>
        <w:t>Cross-phase synthesis</w:t>
      </w:r>
    </w:p>
    <w:p w14:paraId="03DD1691" w14:textId="77777777" w:rsidR="00CB4DA1" w:rsidRDefault="00CB4DA1" w:rsidP="00CB4DA1">
      <w:r>
        <w:t xml:space="preserve">The phase-based analysis demonstrates that participation inequality is not produced at a single moment but emerges through linked mechanisms across the programme lifecycle. Phase 1 establishes differentiated entry conditions (proposal legibility, </w:t>
      </w:r>
      <w:r>
        <w:lastRenderedPageBreak/>
        <w:t>consortium access, and early role allocation). Phase 2 stabilises these differences through governance arrangements, compliance burdens, and the fit or misfit between project logics and newsroom routines. Phase 3 then shapes how innovation is made visible and reusable through deliverable regimes, attribution practices, and selective openness. Finally, Phase 4 shows that consolidation depends on institutionalisation capacity and stewardship, and that innovation credentials can translate into field-level legitimacy with downstream effects on future access.</w:t>
      </w:r>
    </w:p>
    <w:p w14:paraId="53B76269" w14:textId="77777777" w:rsidR="00CB4DA1" w:rsidRDefault="00CB4DA1" w:rsidP="00CB4DA1">
      <w:pPr>
        <w:pStyle w:val="Kop1"/>
      </w:pPr>
      <w:bookmarkStart w:id="31" w:name="_uoit90c99576" w:colFirst="0" w:colLast="0"/>
      <w:bookmarkEnd w:id="31"/>
      <w:r>
        <w:t>Discussion</w:t>
      </w:r>
    </w:p>
    <w:p w14:paraId="3D4736A7" w14:textId="77777777" w:rsidR="00CB4DA1" w:rsidRDefault="00CB4DA1" w:rsidP="00CB4DA1">
      <w:pPr>
        <w:spacing w:before="240" w:after="240"/>
      </w:pPr>
      <w:r>
        <w:t>Our study set out to explain when and why participation in publicly funded journalism-innovation schemes becomes uneven, using the Flemish Digital Transformation for the Media Sector programme as a case. Building on our phase-based analysis, the findings show that participation inequality is not an incidental side-effect but an emergent outcome of how programme logics intersect with newsroom logics; and how these intersections are mediated through boundary work and institutional pressures.</w:t>
      </w:r>
    </w:p>
    <w:p w14:paraId="70087CB5" w14:textId="77777777" w:rsidR="00CB4DA1" w:rsidRDefault="00CB4DA1" w:rsidP="00CB4DA1">
      <w:pPr>
        <w:pStyle w:val="Kop3"/>
        <w:keepNext w:val="0"/>
        <w:keepLines w:val="0"/>
        <w:spacing w:before="280"/>
        <w:jc w:val="both"/>
        <w:rPr>
          <w:b/>
          <w:bCs/>
          <w:color w:val="000000"/>
        </w:rPr>
      </w:pPr>
      <w:bookmarkStart w:id="32" w:name="_s49v4ct9msnh" w:colFirst="0" w:colLast="0"/>
      <w:bookmarkEnd w:id="32"/>
      <w:r>
        <w:rPr>
          <w:b/>
          <w:bCs/>
          <w:color w:val="000000"/>
        </w:rPr>
        <w:t>Participation inequality as a phase-linked, cumulative process</w:t>
      </w:r>
    </w:p>
    <w:p w14:paraId="10A51601" w14:textId="77777777" w:rsidR="00CB4DA1" w:rsidRDefault="00CB4DA1" w:rsidP="00CB4DA1">
      <w:pPr>
        <w:spacing w:before="240" w:after="240"/>
      </w:pPr>
      <w:r>
        <w:t xml:space="preserve">We demonstrated that “who gets to innovate” is decided through linked mechanisms across the entire programme lifecycle, rather than at the selection moment alone. Phase 1 establishes unequal entry conditions. Phase 2 stabilises these inequalities through governance and administrative infrastructures that concentrate agenda-setting power. Phase 3 distributes recognition unevenly through visibility and </w:t>
      </w:r>
      <w:r>
        <w:lastRenderedPageBreak/>
        <w:t>attribution practices and through contested openness. Phase 4 converts these asymmetries into cumulative advantage by differentially enabling some organisations to institutionalise outputs and leverage reputational capital into future access. In combination, this produces a Matthew-effect dynamic: early advantages (capacity, networks, legitimacy) convert into control and credibility, which then become inputs for subsequent rounds of innovation funding.</w:t>
      </w:r>
    </w:p>
    <w:p w14:paraId="2849EDB8" w14:textId="77777777" w:rsidR="00CB4DA1" w:rsidRDefault="00CB4DA1" w:rsidP="00CB4DA1">
      <w:pPr>
        <w:spacing w:before="240" w:after="240"/>
        <w:ind w:firstLine="720"/>
      </w:pPr>
      <w:r>
        <w:t>This cross-phase view matters because policy debates often assume that “opening eligibility” is sufficient to widen participation. The present findings suggest that formal eligibility is a weak remedy when the effective costs of participation, grant-writing, consortium-building, compliance capacity, and post-grant maintenance, remain unevenly distributed.</w:t>
      </w:r>
    </w:p>
    <w:p w14:paraId="37317F04" w14:textId="77777777" w:rsidR="00CB4DA1" w:rsidRDefault="00CB4DA1" w:rsidP="00CB4DA1">
      <w:pPr>
        <w:pStyle w:val="Kop3"/>
        <w:keepNext w:val="0"/>
        <w:keepLines w:val="0"/>
        <w:spacing w:before="280"/>
        <w:jc w:val="both"/>
        <w:rPr>
          <w:b/>
          <w:bCs/>
          <w:color w:val="000000"/>
        </w:rPr>
      </w:pPr>
      <w:bookmarkStart w:id="33" w:name="_izukxpa16bt" w:colFirst="0" w:colLast="0"/>
      <w:bookmarkEnd w:id="33"/>
      <w:r>
        <w:rPr>
          <w:b/>
          <w:bCs/>
          <w:color w:val="000000"/>
        </w:rPr>
        <w:t>Boundary work: how “innovation-capable actors” are produced</w:t>
      </w:r>
    </w:p>
    <w:p w14:paraId="00E287C3" w14:textId="77777777" w:rsidR="00CB4DA1" w:rsidRDefault="00CB4DA1" w:rsidP="00CB4DA1">
      <w:pPr>
        <w:spacing w:before="240" w:after="240"/>
      </w:pPr>
      <w:r>
        <w:t>Across phases, the programme functions as a site where actors continually negotiate and reproduce boundaries around (a) who counts as a credible innovator, and (b) what counts as fundable innovation.</w:t>
      </w:r>
    </w:p>
    <w:p w14:paraId="0D7EE603" w14:textId="77777777" w:rsidR="00CB4DA1" w:rsidRDefault="00CB4DA1" w:rsidP="00CB4DA1">
      <w:pPr>
        <w:spacing w:before="240" w:after="240"/>
      </w:pPr>
      <w:r>
        <w:rPr>
          <w:b/>
          <w:bCs/>
        </w:rPr>
        <w:t>Phase 1. Consortium gatekeeping and the “invitation economy”.</w:t>
      </w:r>
      <w:r>
        <w:t xml:space="preserve"> </w:t>
      </w:r>
    </w:p>
    <w:p w14:paraId="584AADF9" w14:textId="77777777" w:rsidR="00CB4DA1" w:rsidRDefault="00CB4DA1" w:rsidP="00CB4DA1">
      <w:pPr>
        <w:spacing w:before="240" w:after="240"/>
      </w:pPr>
      <w:r>
        <w:t xml:space="preserve">Requirements to form cross-sector consortia, combined with short time windows and interpretive ambiguity, mean that participation depends heavily on relational capacity and grant-writing know-how. Informants’ accounts of “club-like” consortium formation indicate a form of boundary work where incumbents and well-connected intermediaries act as gatekeepers, sorting actors into “core” and “peripheral” roles before evaluation even begins. This is not merely social closure; it is also epistemic </w:t>
      </w:r>
      <w:r>
        <w:lastRenderedPageBreak/>
        <w:t>closure: controlling which problem definitions and solution frames become legible as “innovation” under the call.</w:t>
      </w:r>
    </w:p>
    <w:p w14:paraId="4401073B" w14:textId="77777777" w:rsidR="00CB4DA1" w:rsidRDefault="00CB4DA1" w:rsidP="00CB4DA1">
      <w:pPr>
        <w:spacing w:before="240" w:after="240"/>
      </w:pPr>
      <w:r>
        <w:rPr>
          <w:b/>
          <w:bCs/>
        </w:rPr>
        <w:t>Phase 2. Governance as boundary maintenance.</w:t>
      </w:r>
      <w:r>
        <w:t xml:space="preserve"> </w:t>
      </w:r>
    </w:p>
    <w:p w14:paraId="767F3573" w14:textId="77777777" w:rsidR="00CB4DA1" w:rsidRDefault="00CB4DA1" w:rsidP="00CB4DA1">
      <w:pPr>
        <w:spacing w:before="240" w:after="240"/>
      </w:pPr>
      <w:r>
        <w:t>Implementation reveals how boundaries drawn at entry are maintained via governance routines. Agenda control, deliverable definitions, reporting templates, and coordination authority typically held by lead applicants. Our study shows that bureaucratic artefacts (minutes, progress reports, work-package structures) operate as boundary objects that appear neutral while distributing decision rights and narrative control. This consolidates the distinction between those who “innovate” (define direction, represent the project) and those who “contribute” (execute discrete tasks).</w:t>
      </w:r>
    </w:p>
    <w:p w14:paraId="093286E0" w14:textId="77777777" w:rsidR="00CB4DA1" w:rsidRDefault="00CB4DA1" w:rsidP="00CB4DA1">
      <w:pPr>
        <w:spacing w:before="240" w:after="240"/>
      </w:pPr>
      <w:r>
        <w:rPr>
          <w:b/>
          <w:bCs/>
        </w:rPr>
        <w:t>Phase 3. Reputational boundary-making and selective openness.</w:t>
      </w:r>
      <w:r>
        <w:t xml:space="preserve"> </w:t>
      </w:r>
    </w:p>
    <w:p w14:paraId="726CE9DB" w14:textId="77777777" w:rsidR="00CB4DA1" w:rsidRDefault="00CB4DA1" w:rsidP="00CB4DA1">
      <w:pPr>
        <w:spacing w:before="240" w:after="240"/>
      </w:pPr>
      <w:r>
        <w:t>Output phases are not just technical endpoints; they are moments of symbolic production where “innovation” is publicly narrated. Visibility, showcasing, and branding determine who accrues innovation credit, which then becomes a credential for future consortium invitations. At the same time, the politics of openness illustrate boundary work between the consortium and the wider field: actors manage what is shared, what is retained, and what becomes proprietary; often in tension with the programme’s ecosystem rationale.</w:t>
      </w:r>
    </w:p>
    <w:p w14:paraId="57547663" w14:textId="77777777" w:rsidR="00CB4DA1" w:rsidRDefault="00CB4DA1" w:rsidP="00CB4DA1">
      <w:pPr>
        <w:spacing w:before="240" w:after="240"/>
      </w:pPr>
      <w:r>
        <w:rPr>
          <w:b/>
          <w:bCs/>
        </w:rPr>
        <w:t>Phase 4. Boundary effects become field structure.</w:t>
      </w:r>
      <w:r>
        <w:t xml:space="preserve"> </w:t>
      </w:r>
    </w:p>
    <w:p w14:paraId="5E4E894F" w14:textId="77777777" w:rsidR="00CB4DA1" w:rsidRDefault="00CB4DA1" w:rsidP="00CB4DA1">
      <w:pPr>
        <w:spacing w:before="240" w:after="240"/>
      </w:pPr>
      <w:r>
        <w:lastRenderedPageBreak/>
        <w:t>Consolidation determines whether outputs remain project artefacts or become durable field resources. Organisations that can sustain tools and retain expertise convert participation into enduring legitimacy. Those that cannot, face an “end-of-funding cliff,” losing both output viability and human capital, which in turn undermines their future credibility. In this way, boundary work around legitimacy and competence becomes institutionalised as stratification.</w:t>
      </w:r>
    </w:p>
    <w:p w14:paraId="05F67145" w14:textId="77777777" w:rsidR="00CB4DA1" w:rsidRDefault="00CB4DA1" w:rsidP="00CB4DA1">
      <w:pPr>
        <w:pStyle w:val="Kop3"/>
        <w:keepNext w:val="0"/>
        <w:keepLines w:val="0"/>
        <w:spacing w:before="280"/>
        <w:jc w:val="both"/>
        <w:rPr>
          <w:b/>
          <w:bCs/>
          <w:color w:val="000000"/>
        </w:rPr>
      </w:pPr>
      <w:bookmarkStart w:id="34" w:name="_oyxtxi1duv8g" w:colFirst="0" w:colLast="0"/>
      <w:bookmarkEnd w:id="34"/>
      <w:r>
        <w:rPr>
          <w:b/>
          <w:bCs/>
          <w:color w:val="000000"/>
        </w:rPr>
        <w:t>Institutional logics and the misfit of “project time” and “newsroom time”</w:t>
      </w:r>
    </w:p>
    <w:p w14:paraId="5A64282D" w14:textId="77777777" w:rsidR="00CB4DA1" w:rsidRDefault="00CB4DA1" w:rsidP="00CB4DA1">
      <w:pPr>
        <w:spacing w:before="240" w:after="240"/>
      </w:pPr>
      <w:r>
        <w:t xml:space="preserve">Institutional theory helps specify why these boundary dynamics persist. The programme embodies a policy/innovation logic of </w:t>
      </w:r>
      <w:r>
        <w:rPr>
          <w:i/>
          <w:iCs/>
        </w:rPr>
        <w:t>projectification</w:t>
      </w:r>
      <w:r>
        <w:t>: time-bound deliverables, accountability regimes, KPI-like success markers, and administrative rationalities. Newsrooms, by contrast, are strongly shaped by professional logics (continuous production rhythms, autonomy norms) and, especially for commercial actors, market logics (competition, risk minimisation, strategic secrecy).</w:t>
      </w:r>
    </w:p>
    <w:p w14:paraId="4F662475" w14:textId="77777777" w:rsidR="00CB4DA1" w:rsidRDefault="00CB4DA1" w:rsidP="00CB4DA1">
      <w:pPr>
        <w:spacing w:before="240" w:after="240"/>
        <w:ind w:firstLine="720"/>
      </w:pPr>
      <w:r>
        <w:t>The findings show that inequalities intensify where there is a differential institutional fit. Larger organisations with dedicated R&amp;D/product capacity can treat compliance as routinised overhead; smaller outlets experience it as a participation penalty that competes with core editorial survival. Where innovation is internally legitimated (e.g., dedicated teams, leadership endorsement), the programme’s coercive pressures can be enabling. Where innovation remains marginal, organisations are more likely to decouple: deliver prototypes to satisfy external expectations while leaving core routines unchanged.</w:t>
      </w:r>
    </w:p>
    <w:p w14:paraId="1C917BBE" w14:textId="77777777" w:rsidR="00CB4DA1" w:rsidRDefault="00CB4DA1" w:rsidP="00CB4DA1">
      <w:pPr>
        <w:spacing w:before="240" w:after="240"/>
        <w:ind w:firstLine="720"/>
      </w:pPr>
      <w:r>
        <w:lastRenderedPageBreak/>
        <w:t>This helps explain why some outputs appear trend-led and short-term: the programme’s evaluation environment rewards what is demonstrable within the grant window. The result is a bias toward legible innovation (prototypes, showcases) over absorptive innovation (workflow integration, capability building). The programme thus risks favouring those already positioned to perform innovation in the form the funder can recognise.</w:t>
      </w:r>
    </w:p>
    <w:p w14:paraId="1444D655" w14:textId="77777777" w:rsidR="00CB4DA1" w:rsidRDefault="00CB4DA1" w:rsidP="00CB4DA1">
      <w:pPr>
        <w:pStyle w:val="Kop3"/>
        <w:keepNext w:val="0"/>
        <w:keepLines w:val="0"/>
        <w:spacing w:before="280"/>
        <w:jc w:val="both"/>
        <w:rPr>
          <w:b/>
          <w:bCs/>
          <w:color w:val="000000"/>
        </w:rPr>
      </w:pPr>
      <w:bookmarkStart w:id="35" w:name="_rw0kgajy7hug" w:colFirst="0" w:colLast="0"/>
      <w:bookmarkEnd w:id="35"/>
      <w:r>
        <w:rPr>
          <w:b/>
          <w:bCs/>
          <w:color w:val="000000"/>
        </w:rPr>
        <w:t>Implications for “ecosystem” claims and democratic resilience</w:t>
      </w:r>
    </w:p>
    <w:p w14:paraId="2FDF3819" w14:textId="77777777" w:rsidR="00CB4DA1" w:rsidRDefault="00CB4DA1" w:rsidP="00CB4DA1">
      <w:pPr>
        <w:spacing w:before="240" w:after="240"/>
      </w:pPr>
      <w:r>
        <w:t>A central normative tension emerges: the programme is justified as an ecosystem-strengthening intervention, yet its mechanisms can concentrate innovation capacity and privatise spillovers. Where tools become proprietary, sector-wide diffusion becomes contingent on market transactions; an outcome that sits uneasily with public funding rationales. Even where actors endorse cross-sector collaboration, competitive dynamics encourage “strategic openness," limiting what becomes a shared resource.</w:t>
      </w:r>
    </w:p>
    <w:p w14:paraId="2177D9EC" w14:textId="77777777" w:rsidR="00CB4DA1" w:rsidRDefault="00CB4DA1" w:rsidP="00CB4DA1">
      <w:pPr>
        <w:spacing w:before="240" w:after="240"/>
        <w:ind w:firstLine="720"/>
      </w:pPr>
      <w:r>
        <w:t>This has two broader implications: (1) Resilience becomes unevenly distributed. If public schemes disproportionately build capacity among incumbents, they may stabilise the strongest actors rather than diversify the field’s adaptive capacity; potentially undermining pluralism/pluriformism in small-market contexts. (2) Innovation funding can reconfigure professional boundaries. By legitimating R&amp;D-style work inside news organisations and normalising collaboration with technology partners and funders, programmes reshape journalism’s boundary practices, but not necessarily in an egalitarian direction.</w:t>
      </w:r>
    </w:p>
    <w:p w14:paraId="0DEFE71D" w14:textId="77777777" w:rsidR="00CB4DA1" w:rsidRDefault="00CB4DA1" w:rsidP="00CB4DA1">
      <w:pPr>
        <w:pStyle w:val="Kop3"/>
        <w:keepNext w:val="0"/>
        <w:keepLines w:val="0"/>
        <w:spacing w:before="280"/>
        <w:jc w:val="both"/>
        <w:rPr>
          <w:b/>
          <w:bCs/>
          <w:color w:val="000000"/>
        </w:rPr>
      </w:pPr>
      <w:bookmarkStart w:id="36" w:name="_khs20yezabmt" w:colFirst="0" w:colLast="0"/>
      <w:bookmarkEnd w:id="36"/>
      <w:r>
        <w:rPr>
          <w:b/>
          <w:bCs/>
          <w:color w:val="000000"/>
        </w:rPr>
        <w:lastRenderedPageBreak/>
        <w:t>Design principles: from “competitive projects” to “equitable capacity building”</w:t>
      </w:r>
    </w:p>
    <w:p w14:paraId="4781F5BD" w14:textId="77777777" w:rsidR="00CB4DA1" w:rsidRDefault="00CB4DA1" w:rsidP="00CB4DA1">
      <w:pPr>
        <w:spacing w:before="240" w:after="240"/>
      </w:pPr>
      <w:r>
        <w:t>The phase-based evidence points to concrete design levers that map onto specific barriers:</w:t>
      </w:r>
    </w:p>
    <w:p w14:paraId="5FBD21F5" w14:textId="77777777" w:rsidR="00CB4DA1" w:rsidRDefault="00CB4DA1" w:rsidP="00CB4DA1">
      <w:pPr>
        <w:numPr>
          <w:ilvl w:val="0"/>
          <w:numId w:val="2"/>
        </w:numPr>
        <w:spacing w:before="240"/>
        <w:jc w:val="left"/>
      </w:pPr>
      <w:r>
        <w:t>Lower Phase-1 entry costs: simplified applications, longer preparation windows, and support for proposal writing (including matchmaking that does not rely on informal networks).</w:t>
      </w:r>
    </w:p>
    <w:p w14:paraId="75CCAD16" w14:textId="77777777" w:rsidR="00CB4DA1" w:rsidRDefault="00CB4DA1" w:rsidP="00CB4DA1">
      <w:pPr>
        <w:numPr>
          <w:ilvl w:val="0"/>
          <w:numId w:val="2"/>
        </w:numPr>
        <w:jc w:val="left"/>
      </w:pPr>
      <w:r>
        <w:t>Counteract consortium stratification: minimum role requirements for smaller partners (e.g., budget shares, decision rights), and transparency obligations around consortium formation and governance.</w:t>
      </w:r>
    </w:p>
    <w:p w14:paraId="48191336" w14:textId="77777777" w:rsidR="00CB4DA1" w:rsidRDefault="00CB4DA1" w:rsidP="00CB4DA1">
      <w:pPr>
        <w:numPr>
          <w:ilvl w:val="0"/>
          <w:numId w:val="2"/>
        </w:numPr>
        <w:jc w:val="left"/>
      </w:pPr>
      <w:r>
        <w:t>Reduce compliance asymmetries: proportional reporting requirements; shared administrative services; templates aligned with newsroom realities.</w:t>
      </w:r>
    </w:p>
    <w:p w14:paraId="0502DFF4" w14:textId="77777777" w:rsidR="00CB4DA1" w:rsidRDefault="00CB4DA1" w:rsidP="00CB4DA1">
      <w:pPr>
        <w:numPr>
          <w:ilvl w:val="0"/>
          <w:numId w:val="2"/>
        </w:numPr>
        <w:jc w:val="left"/>
      </w:pPr>
      <w:r>
        <w:t>Shift evaluation from prototypes to institutionalisation: reward plans for embedding, training, and long-term stewardship, not only short-term novelty.</w:t>
      </w:r>
    </w:p>
    <w:p w14:paraId="5A56453E" w14:textId="77777777" w:rsidR="00CB4DA1" w:rsidRDefault="00CB4DA1" w:rsidP="00CB4DA1">
      <w:pPr>
        <w:numPr>
          <w:ilvl w:val="0"/>
          <w:numId w:val="2"/>
        </w:numPr>
        <w:spacing w:after="240"/>
        <w:jc w:val="left"/>
      </w:pPr>
      <w:r>
        <w:t>Fund consolidation explicitly: maintenance budgets, post-grant transition funding, and licensing/governance frameworks that secure ecosystem value (e.g., mandated open components where appropriate, or sector access guarantees when commercialisation occurs).</w:t>
      </w:r>
    </w:p>
    <w:p w14:paraId="3AAB3ECE" w14:textId="77777777" w:rsidR="00CB4DA1" w:rsidRDefault="00CB4DA1" w:rsidP="00CB4DA1">
      <w:pPr>
        <w:spacing w:before="240" w:after="240"/>
      </w:pPr>
      <w:r>
        <w:t>These measures recognise that without structural correction, programmes designed to “lift the sector” may reproduce the field’s existing hierarchies.</w:t>
      </w:r>
    </w:p>
    <w:p w14:paraId="56953229" w14:textId="77777777" w:rsidR="00CB4DA1" w:rsidRDefault="00CB4DA1" w:rsidP="00CB4DA1">
      <w:pPr>
        <w:pStyle w:val="Kop3"/>
        <w:keepNext w:val="0"/>
        <w:keepLines w:val="0"/>
        <w:spacing w:before="280"/>
        <w:jc w:val="both"/>
        <w:rPr>
          <w:b/>
          <w:bCs/>
          <w:color w:val="000000"/>
        </w:rPr>
      </w:pPr>
      <w:bookmarkStart w:id="37" w:name="_ewpmerh0yuk7" w:colFirst="0" w:colLast="0"/>
      <w:bookmarkEnd w:id="37"/>
      <w:r>
        <w:rPr>
          <w:b/>
          <w:bCs/>
          <w:color w:val="000000"/>
        </w:rPr>
        <w:t>Limitations and future research</w:t>
      </w:r>
    </w:p>
    <w:p w14:paraId="34B23A1E" w14:textId="77777777" w:rsidR="00CB4DA1" w:rsidRDefault="00CB4DA1" w:rsidP="00CB4DA1">
      <w:pPr>
        <w:spacing w:before="240" w:after="240"/>
      </w:pPr>
      <w:r>
        <w:lastRenderedPageBreak/>
        <w:t>The study’s single-case design offers analytical depth but limits generalisability across media systems with different subsidy traditions, ownership structures, or innovation infrastructures (Belgium falls into the Democratic-Corparatist model cf. Humprecht et al., 2022). Interview data capture actors’ perceptions of barriers and benefits, but cannot fully reconstruct decision-making inside evaluation panels or quantify the full population of applicants. Finally, as interviews were conducted near project completion, recall and post-hoc rationalisation are possible.</w:t>
      </w:r>
    </w:p>
    <w:p w14:paraId="346C67F7" w14:textId="77777777" w:rsidR="00CB4DA1" w:rsidRDefault="00CB4DA1" w:rsidP="00CB4DA1">
      <w:pPr>
        <w:spacing w:before="240" w:after="240"/>
        <w:ind w:firstLine="720"/>
      </w:pPr>
      <w:r>
        <w:t>Future work could compare multiple programmes across regions to identify which design features systematically reduce participation inequality; combine interview insights with network analysis</w:t>
      </w:r>
      <w:r>
        <w:rPr>
          <w:b/>
          <w:bCs/>
        </w:rPr>
        <w:t xml:space="preserve"> </w:t>
      </w:r>
      <w:r>
        <w:t>of consortia and repeated participation patterns; trace longer-term adoption of outputs to assess whether “ecosystem benefits” materialise; and examine evaluator practices and the institutionalised templates through which “innovation” becomes legible.</w:t>
      </w:r>
    </w:p>
    <w:p w14:paraId="3DDD4B1E" w14:textId="77777777" w:rsidR="00CB4DA1" w:rsidRDefault="00CB4DA1" w:rsidP="00CB4DA1">
      <w:pPr>
        <w:pStyle w:val="Kop1"/>
      </w:pPr>
      <w:bookmarkStart w:id="38" w:name="_8zffphh84j42" w:colFirst="0" w:colLast="0"/>
      <w:bookmarkEnd w:id="38"/>
      <w:commentRangeStart w:id="39"/>
      <w:r>
        <w:t>Conclusion</w:t>
      </w:r>
      <w:commentRangeEnd w:id="39"/>
      <w:r w:rsidR="00824E3C">
        <w:rPr>
          <w:rStyle w:val="Verwijzingopmerking"/>
          <w:sz w:val="40"/>
          <w:szCs w:val="40"/>
        </w:rPr>
        <w:commentReference w:id="39"/>
      </w:r>
    </w:p>
    <w:p w14:paraId="6D979650" w14:textId="77777777" w:rsidR="00CB4DA1" w:rsidRDefault="00CB4DA1" w:rsidP="00CB4DA1">
      <w:r>
        <w:t xml:space="preserve">Overall, the study reframes publicly funded journalism innovation as a consequential field-level intervention that redistributes not only money but also legitimacy, networks, and organisational capabilities. The core insight is that participation inequality is produced through phase-specific mechanisms that align closely with established institutional hierarchies: those best able to translate policy buzzwords into deliverables, govern consortia, and sustain outputs are those already positioned as central actors in the field. The programme’s ambition to strengthen resilience is </w:t>
      </w:r>
      <w:r>
        <w:lastRenderedPageBreak/>
        <w:t>therefore partially undermined by the very project logics and capacity assumptions through which it operates.</w:t>
      </w:r>
    </w:p>
    <w:p w14:paraId="6B6E61C9" w14:textId="77777777" w:rsidR="00CB4DA1" w:rsidRDefault="00CB4DA1" w:rsidP="00CB4DA1">
      <w:pPr>
        <w:ind w:firstLine="720"/>
      </w:pPr>
      <w:r>
        <w:t>At the same time, the findings also identify actionable levers. By redesigning programme structures around realistic change temporalities and by explicitly funding capacity building and consolidation, rather than treating them as private responsibilities, policy can better align public investment with the public goals of a diverse, resilient news ecosystem.</w:t>
      </w:r>
    </w:p>
    <w:p w14:paraId="2B99EAA9" w14:textId="60D33D23" w:rsidR="00B41161" w:rsidRDefault="00CB4DA1" w:rsidP="00B116ED">
      <w:pPr>
        <w:pStyle w:val="Kop1"/>
      </w:pPr>
      <w:bookmarkStart w:id="40" w:name="_i1if8wsuc0kf" w:colFirst="0" w:colLast="0"/>
      <w:bookmarkEnd w:id="40"/>
      <w:commentRangeStart w:id="41"/>
      <w:r>
        <w:t>Notes</w:t>
      </w:r>
      <w:commentRangeEnd w:id="41"/>
      <w:r w:rsidR="00824E3C">
        <w:rPr>
          <w:rStyle w:val="Verwijzingopmerking"/>
          <w:sz w:val="40"/>
          <w:szCs w:val="40"/>
        </w:rPr>
        <w:commentReference w:id="41"/>
      </w:r>
    </w:p>
    <w:p w14:paraId="1EBE0406" w14:textId="77777777" w:rsidR="00B116ED" w:rsidRPr="00B116ED" w:rsidRDefault="00B116ED" w:rsidP="00B116ED"/>
    <w:p w14:paraId="16CEC663" w14:textId="77777777" w:rsidR="00CB4DA1" w:rsidRDefault="00CB4DA1" w:rsidP="00CB4DA1">
      <w:pPr>
        <w:pStyle w:val="Kop1"/>
      </w:pPr>
      <w:bookmarkStart w:id="42" w:name="_f75f90lyap3p" w:colFirst="0" w:colLast="0"/>
      <w:bookmarkEnd w:id="42"/>
      <w:r>
        <w:t>References</w:t>
      </w:r>
    </w:p>
    <w:p w14:paraId="159D88C0" w14:textId="77777777" w:rsidR="00CB4DA1" w:rsidRDefault="00CB4DA1" w:rsidP="00CB4DA1">
      <w:r>
        <w:t>[</w:t>
      </w:r>
      <w:r>
        <w:rPr>
          <w:highlight w:val="yellow"/>
        </w:rPr>
        <w:t>Zotero</w:t>
      </w:r>
      <w:r>
        <w:t>]</w:t>
      </w:r>
    </w:p>
    <w:p w14:paraId="4BBDAC78" w14:textId="7C714EFE" w:rsidR="00666779" w:rsidRPr="00AC38B8" w:rsidRDefault="00666779" w:rsidP="00AC38B8"/>
    <w:sectPr w:rsidR="00666779" w:rsidRPr="00AC38B8">
      <w:footerReference w:type="default" r:id="rId11"/>
      <w:footerReference w:type="first" r:id="rId12"/>
      <w:pgSz w:w="12240" w:h="15840"/>
      <w:pgMar w:top="1440" w:right="1440" w:bottom="1440" w:left="1440" w:header="720" w:footer="720" w:gutter="0"/>
      <w:pgNumType w:start="0"/>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Pauljan Truyens" w:date="2026-02-15T14:16:00Z" w:initials="PT">
    <w:p w14:paraId="08623A45" w14:textId="77777777" w:rsidR="00CB4DA1" w:rsidRDefault="00CB4DA1" w:rsidP="00CB4DA1">
      <w:pPr>
        <w:jc w:val="left"/>
      </w:pPr>
      <w:r>
        <w:rPr>
          <w:rStyle w:val="Verwijzingopmerking"/>
        </w:rPr>
        <w:annotationRef/>
      </w:r>
      <w:r>
        <w:rPr>
          <w:sz w:val="20"/>
          <w:szCs w:val="20"/>
        </w:rPr>
        <w:t>Abstract needs an update to reflect rest of the paper (max 200 words).</w:t>
      </w:r>
    </w:p>
  </w:comment>
  <w:comment w:id="6" w:author="Pauljan Truyens" w:date="2026-02-15T14:17:00Z" w:initials="PT">
    <w:p w14:paraId="5234DEDA" w14:textId="77777777" w:rsidR="00C25374" w:rsidRDefault="00C25374" w:rsidP="00C25374">
      <w:pPr>
        <w:jc w:val="left"/>
      </w:pPr>
      <w:r>
        <w:rPr>
          <w:rStyle w:val="Verwijzingopmerking"/>
        </w:rPr>
        <w:annotationRef/>
      </w:r>
      <w:r>
        <w:rPr>
          <w:sz w:val="20"/>
          <w:szCs w:val="20"/>
        </w:rPr>
        <w:t>I need some additional sources to support the claims made in the Lit Review.</w:t>
      </w:r>
    </w:p>
  </w:comment>
  <w:comment w:id="9" w:author="Pauljan Truyens" w:date="2026-02-15T14:19:00Z" w:initials="PT">
    <w:p w14:paraId="79122A01" w14:textId="77777777" w:rsidR="008625D5" w:rsidRDefault="008625D5" w:rsidP="000B3BCA">
      <w:pPr>
        <w:jc w:val="left"/>
      </w:pPr>
      <w:r>
        <w:rPr>
          <w:rStyle w:val="Verwijzingopmerking"/>
        </w:rPr>
        <w:annotationRef/>
      </w:r>
      <w:r>
        <w:rPr>
          <w:sz w:val="20"/>
          <w:szCs w:val="20"/>
        </w:rPr>
        <w:t>How I currently see this table is: Code (number with main characteristics); Role (lead / contributor / non-participant) an indication could also be made to being present in multiple projecjts?; Project line / Size; Function description (reference to organisation and job).</w:t>
      </w:r>
    </w:p>
  </w:comment>
  <w:comment w:id="10" w:author="Pauljan Truyens" w:date="2026-02-15T14:20:00Z" w:initials="PT">
    <w:p w14:paraId="4B4EE6B8" w14:textId="77777777" w:rsidR="008625D5" w:rsidRDefault="008625D5" w:rsidP="00623629">
      <w:pPr>
        <w:jc w:val="left"/>
      </w:pPr>
      <w:r>
        <w:rPr>
          <w:rStyle w:val="Verwijzingopmerking"/>
        </w:rPr>
        <w:annotationRef/>
      </w:r>
      <w:r>
        <w:rPr>
          <w:sz w:val="20"/>
          <w:szCs w:val="20"/>
        </w:rPr>
        <w:t>After the quotes, would then be added (1-Lead in big digital transformation project as innocation coordinator of PSM)</w:t>
      </w:r>
    </w:p>
  </w:comment>
  <w:comment w:id="39" w:author="Pauljan Truyens" w:date="2026-02-15T14:21:00Z" w:initials="PT">
    <w:p w14:paraId="533C05CA" w14:textId="77777777" w:rsidR="00824E3C" w:rsidRDefault="00824E3C" w:rsidP="00824E3C">
      <w:pPr>
        <w:jc w:val="left"/>
      </w:pPr>
      <w:r>
        <w:rPr>
          <w:rStyle w:val="Verwijzingopmerking"/>
        </w:rPr>
        <w:annotationRef/>
      </w:r>
      <w:r>
        <w:rPr>
          <w:sz w:val="20"/>
          <w:szCs w:val="20"/>
        </w:rPr>
        <w:t>This part read rather repetitive and can be deleted or integrated more in the Discussion.</w:t>
      </w:r>
    </w:p>
  </w:comment>
  <w:comment w:id="41" w:author="Pauljan Truyens" w:date="2026-02-15T14:21:00Z" w:initials="PT">
    <w:p w14:paraId="18D519B6" w14:textId="77777777" w:rsidR="00824E3C" w:rsidRDefault="00824E3C" w:rsidP="00824E3C">
      <w:pPr>
        <w:jc w:val="left"/>
      </w:pPr>
      <w:r>
        <w:rPr>
          <w:rStyle w:val="Verwijzingopmerking"/>
        </w:rPr>
        <w:annotationRef/>
      </w:r>
      <w:r>
        <w:rPr>
          <w:sz w:val="20"/>
          <w:szCs w:val="20"/>
        </w:rPr>
        <w:t>Mainly to indicate if topic list is accessible and data set.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8623A45" w15:done="0"/>
  <w15:commentEx w15:paraId="5234DEDA" w15:done="0"/>
  <w15:commentEx w15:paraId="79122A01" w15:done="0"/>
  <w15:commentEx w15:paraId="4B4EE6B8" w15:paraIdParent="79122A01" w15:done="0"/>
  <w15:commentEx w15:paraId="533C05CA" w15:done="0"/>
  <w15:commentEx w15:paraId="18D519B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664BD13" w16cex:dateUtc="2026-02-15T13:16:00Z"/>
  <w16cex:commentExtensible w16cex:durableId="0C2F8C57" w16cex:dateUtc="2026-02-15T13:17:00Z"/>
  <w16cex:commentExtensible w16cex:durableId="1C24647A" w16cex:dateUtc="2026-02-15T13:19:00Z"/>
  <w16cex:commentExtensible w16cex:durableId="7A658830" w16cex:dateUtc="2026-02-15T13:20:00Z"/>
  <w16cex:commentExtensible w16cex:durableId="43BEFEF1" w16cex:dateUtc="2026-02-15T13:21:00Z"/>
  <w16cex:commentExtensible w16cex:durableId="08731B55" w16cex:dateUtc="2026-02-15T13: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8623A45" w16cid:durableId="1664BD13"/>
  <w16cid:commentId w16cid:paraId="5234DEDA" w16cid:durableId="0C2F8C57"/>
  <w16cid:commentId w16cid:paraId="79122A01" w16cid:durableId="1C24647A"/>
  <w16cid:commentId w16cid:paraId="4B4EE6B8" w16cid:durableId="7A658830"/>
  <w16cid:commentId w16cid:paraId="533C05CA" w16cid:durableId="43BEFEF1"/>
  <w16cid:commentId w16cid:paraId="18D519B6" w16cid:durableId="08731B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139D3" w14:textId="77777777" w:rsidR="001F281F" w:rsidRDefault="001F281F">
      <w:pPr>
        <w:spacing w:line="240" w:lineRule="auto"/>
      </w:pPr>
      <w:r>
        <w:separator/>
      </w:r>
    </w:p>
  </w:endnote>
  <w:endnote w:type="continuationSeparator" w:id="0">
    <w:p w14:paraId="0C01AF47" w14:textId="77777777" w:rsidR="001F281F" w:rsidRDefault="001F28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EE09B4F-7CB5-5549-B85A-C71AE8872E12}"/>
    <w:embedBold r:id="rId2" w:fontKey="{1B19E30A-AC8D-1F44-93B7-F5A9B89E1B6E}"/>
    <w:embedItalic r:id="rId3" w:fontKey="{76AE13C9-F961-224A-96CA-4D14BA6C205B}"/>
  </w:font>
  <w:font w:name="Montserrat">
    <w:panose1 w:val="00000500000000000000"/>
    <w:charset w:val="4D"/>
    <w:family w:val="auto"/>
    <w:pitch w:val="variable"/>
    <w:sig w:usb0="2000020F" w:usb1="00000003" w:usb2="00000000" w:usb3="00000000" w:csb0="00000197" w:csb1="00000000"/>
    <w:embedRegular r:id="rId4" w:fontKey="{3B7B69D9-54AB-6E40-BD4C-89F477055D7D}"/>
    <w:embedBold r:id="rId5" w:fontKey="{36A2B76A-B251-D245-A1C9-508B275A4887}"/>
    <w:embedItalic r:id="rId6" w:fontKey="{FBE5B239-F5E7-EB41-9738-5EE5DE4A8258}"/>
  </w:font>
  <w:font w:name="Arial">
    <w:panose1 w:val="020B0604020202020204"/>
    <w:charset w:val="00"/>
    <w:family w:val="swiss"/>
    <w:pitch w:val="variable"/>
    <w:sig w:usb0="E0002EFF" w:usb1="C000785B" w:usb2="00000009" w:usb3="00000000" w:csb0="000001FF" w:csb1="00000000"/>
    <w:embedRegular r:id="rId7" w:fontKey="{7297DEBE-6118-AE40-910A-CEEB519B05C1}"/>
  </w:font>
  <w:font w:name="Calibri">
    <w:panose1 w:val="020F0502020204030204"/>
    <w:charset w:val="00"/>
    <w:family w:val="swiss"/>
    <w:pitch w:val="variable"/>
    <w:sig w:usb0="E0002AFF" w:usb1="C000247B" w:usb2="00000009" w:usb3="00000000" w:csb0="000001FF" w:csb1="00000000"/>
    <w:embedRegular r:id="rId8" w:fontKey="{C1501496-92ED-584D-8371-8DE1012F8BA8}"/>
  </w:font>
  <w:font w:name="Cambria">
    <w:panose1 w:val="02040503050406030204"/>
    <w:charset w:val="00"/>
    <w:family w:val="roman"/>
    <w:pitch w:val="variable"/>
    <w:sig w:usb0="E00006FF" w:usb1="420024FF" w:usb2="02000000" w:usb3="00000000" w:csb0="0000019F" w:csb1="00000000"/>
    <w:embedRegular r:id="rId9" w:fontKey="{1DF66602-7DDA-8C4B-B395-A64D17B073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DAC79" w14:textId="1F1BDD98" w:rsidR="00666779" w:rsidRDefault="001F281F">
    <w:pPr>
      <w:jc w:val="right"/>
    </w:pPr>
    <w:r>
      <w:fldChar w:fldCharType="begin"/>
    </w:r>
    <w:r>
      <w:instrText>PAGE</w:instrText>
    </w:r>
    <w:r>
      <w:fldChar w:fldCharType="separate"/>
    </w:r>
    <w:r w:rsidR="00AC38B8">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DAC7A" w14:textId="77777777" w:rsidR="00666779" w:rsidRDefault="006667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B9C46" w14:textId="77777777" w:rsidR="001F281F" w:rsidRDefault="001F281F">
      <w:pPr>
        <w:spacing w:line="240" w:lineRule="auto"/>
      </w:pPr>
      <w:r>
        <w:separator/>
      </w:r>
    </w:p>
  </w:footnote>
  <w:footnote w:type="continuationSeparator" w:id="0">
    <w:p w14:paraId="7FC7D924" w14:textId="77777777" w:rsidR="001F281F" w:rsidRDefault="001F28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526C35"/>
    <w:multiLevelType w:val="multilevel"/>
    <w:tmpl w:val="14A6A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22275C3"/>
    <w:multiLevelType w:val="multilevel"/>
    <w:tmpl w:val="17BE5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7861618">
    <w:abstractNumId w:val="0"/>
  </w:num>
  <w:num w:numId="2" w16cid:durableId="106032527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uljan Truyens">
    <w15:presenceInfo w15:providerId="AD" w15:userId="S::Pauljan.Truyens@vub.be::2a3f6a5f-e9b9-4b98-b826-e9546ebbef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779"/>
    <w:rsid w:val="000B3BCA"/>
    <w:rsid w:val="0014103A"/>
    <w:rsid w:val="001F281F"/>
    <w:rsid w:val="0020536D"/>
    <w:rsid w:val="00232D59"/>
    <w:rsid w:val="00623629"/>
    <w:rsid w:val="00666779"/>
    <w:rsid w:val="0072096F"/>
    <w:rsid w:val="007403E3"/>
    <w:rsid w:val="00824E3C"/>
    <w:rsid w:val="008625D5"/>
    <w:rsid w:val="00AC38B8"/>
    <w:rsid w:val="00B116ED"/>
    <w:rsid w:val="00B41161"/>
    <w:rsid w:val="00C25374"/>
    <w:rsid w:val="00CB4DA1"/>
    <w:rsid w:val="00EA456F"/>
    <w:rsid w:val="00F73944"/>
    <w:rsid w:val="00F960B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4BBDAAEA"/>
  <w15:docId w15:val="{763D464F-6D8A-724D-80C6-F23E5D0D1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sz w:val="22"/>
        <w:szCs w:val="22"/>
        <w:lang w:val="en" w:eastAsia="nl-NL"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jc w:val="left"/>
      <w:outlineLvl w:val="1"/>
    </w:pPr>
    <w:rPr>
      <w:sz w:val="32"/>
      <w:szCs w:val="32"/>
    </w:rPr>
  </w:style>
  <w:style w:type="paragraph" w:styleId="Kop3">
    <w:name w:val="heading 3"/>
    <w:basedOn w:val="Standaard"/>
    <w:next w:val="Standaard"/>
    <w:uiPriority w:val="9"/>
    <w:unhideWhenUsed/>
    <w:qFormat/>
    <w:pPr>
      <w:keepNext/>
      <w:keepLines/>
      <w:spacing w:before="320" w:after="80"/>
      <w:jc w:val="left"/>
      <w:outlineLvl w:val="2"/>
    </w:pPr>
    <w:rPr>
      <w:color w:val="434343"/>
      <w:sz w:val="26"/>
      <w:szCs w:val="26"/>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character" w:styleId="Verwijzingopmerking">
    <w:name w:val="annotation reference"/>
    <w:basedOn w:val="Standaardalinea-lettertype"/>
    <w:uiPriority w:val="99"/>
    <w:semiHidden/>
    <w:unhideWhenUsed/>
    <w:rsid w:val="00CB4DA1"/>
    <w:rPr>
      <w:sz w:val="16"/>
      <w:szCs w:val="16"/>
    </w:rPr>
  </w:style>
  <w:style w:type="paragraph" w:styleId="Tekstopmerking">
    <w:name w:val="annotation text"/>
    <w:basedOn w:val="Standaard"/>
    <w:link w:val="TekstopmerkingChar"/>
    <w:uiPriority w:val="99"/>
    <w:semiHidden/>
    <w:unhideWhenUsed/>
    <w:rsid w:val="00CB4DA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B4DA1"/>
    <w:rPr>
      <w:sz w:val="20"/>
      <w:szCs w:val="20"/>
    </w:rPr>
  </w:style>
  <w:style w:type="paragraph" w:styleId="Onderwerpvanopmerking">
    <w:name w:val="annotation subject"/>
    <w:basedOn w:val="Tekstopmerking"/>
    <w:next w:val="Tekstopmerking"/>
    <w:link w:val="OnderwerpvanopmerkingChar"/>
    <w:uiPriority w:val="99"/>
    <w:semiHidden/>
    <w:unhideWhenUsed/>
    <w:rsid w:val="00CB4DA1"/>
    <w:rPr>
      <w:b/>
      <w:bCs/>
    </w:rPr>
  </w:style>
  <w:style w:type="character" w:customStyle="1" w:styleId="OnderwerpvanopmerkingChar">
    <w:name w:val="Onderwerp van opmerking Char"/>
    <w:basedOn w:val="TekstopmerkingChar"/>
    <w:link w:val="Onderwerpvanopmerking"/>
    <w:uiPriority w:val="99"/>
    <w:semiHidden/>
    <w:rsid w:val="00CB4D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10147</Words>
  <Characters>55810</Characters>
  <Application>Microsoft Office Word</Application>
  <DocSecurity>0</DocSecurity>
  <Lines>465</Lines>
  <Paragraphs>131</Paragraphs>
  <ScaleCrop>false</ScaleCrop>
  <Company/>
  <LinksUpToDate>false</LinksUpToDate>
  <CharactersWithSpaces>65826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Pauljan Truyens</cp:lastModifiedBy>
  <cp:revision>2</cp:revision>
  <dcterms:created xsi:type="dcterms:W3CDTF">2026-02-17T13:48:00Z</dcterms:created>
  <dcterms:modified xsi:type="dcterms:W3CDTF">2026-02-17T13:48:00Z</dcterms:modified>
</cp:coreProperties>
</file>