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A3D" w14:textId="77777777" w:rsidR="00E1741F" w:rsidRPr="003C1910" w:rsidRDefault="009252B1" w:rsidP="00A214D4">
      <w:pPr>
        <w:jc w:val="left"/>
        <w:rPr>
          <w:rFonts w:asciiTheme="majorHAnsi" w:hAnsiTheme="majorHAnsi"/>
          <w:smallCaps/>
          <w:sz w:val="20"/>
          <w:lang w:val="en-GB"/>
        </w:rPr>
      </w:pPr>
      <w:r w:rsidRPr="003C1910">
        <w:rPr>
          <w:noProof/>
          <w:lang w:val="en-GB" w:eastAsia="it-IT"/>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D37114C"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3C1910">
        <w:rPr>
          <w:smallCaps/>
          <w:sz w:val="2"/>
          <w:lang w:val="en-GB"/>
        </w:rPr>
        <w:br/>
      </w:r>
      <w:r w:rsidRPr="003C1910">
        <w:rPr>
          <w:rFonts w:asciiTheme="majorHAnsi" w:hAnsiTheme="majorHAnsi"/>
          <w:b/>
          <w:smallCaps/>
          <w:sz w:val="44"/>
          <w:lang w:val="en-GB"/>
        </w:rPr>
        <w:t>STAR</w:t>
      </w:r>
      <w:r w:rsidR="00E1741F" w:rsidRPr="003C1910">
        <w:rPr>
          <w:rFonts w:asciiTheme="majorHAnsi" w:hAnsiTheme="majorHAnsi"/>
          <w:smallCaps/>
          <w:lang w:val="en-GB"/>
        </w:rPr>
        <w:br/>
      </w:r>
      <w:r w:rsidRPr="003C1910">
        <w:rPr>
          <w:rFonts w:asciiTheme="majorHAnsi" w:hAnsiTheme="majorHAnsi"/>
          <w:b/>
          <w:smallCaps/>
          <w:sz w:val="20"/>
          <w:lang w:val="en-GB"/>
        </w:rPr>
        <w:t>S</w:t>
      </w:r>
      <w:r w:rsidRPr="003C1910">
        <w:rPr>
          <w:rFonts w:asciiTheme="majorHAnsi" w:hAnsiTheme="majorHAnsi"/>
          <w:smallCaps/>
          <w:sz w:val="20"/>
          <w:lang w:val="en-GB"/>
        </w:rPr>
        <w:t xml:space="preserve">upport </w:t>
      </w:r>
      <w:r w:rsidRPr="003C1910">
        <w:rPr>
          <w:rFonts w:asciiTheme="majorHAnsi" w:hAnsiTheme="majorHAnsi"/>
          <w:b/>
          <w:smallCaps/>
          <w:sz w:val="20"/>
          <w:lang w:val="en-GB"/>
        </w:rPr>
        <w:t>T</w:t>
      </w:r>
      <w:r w:rsidRPr="003C1910">
        <w:rPr>
          <w:rFonts w:asciiTheme="majorHAnsi" w:hAnsiTheme="majorHAnsi"/>
          <w:smallCaps/>
          <w:sz w:val="20"/>
          <w:lang w:val="en-GB"/>
        </w:rPr>
        <w:t xml:space="preserve">raining </w:t>
      </w:r>
      <w:r w:rsidRPr="003C1910">
        <w:rPr>
          <w:rFonts w:asciiTheme="majorHAnsi" w:hAnsiTheme="majorHAnsi"/>
          <w:b/>
          <w:smallCaps/>
          <w:sz w:val="20"/>
          <w:lang w:val="en-GB"/>
        </w:rPr>
        <w:t>A</w:t>
      </w:r>
      <w:r w:rsidRPr="003C1910">
        <w:rPr>
          <w:rFonts w:asciiTheme="majorHAnsi" w:hAnsiTheme="majorHAnsi"/>
          <w:smallCaps/>
          <w:sz w:val="20"/>
          <w:lang w:val="en-GB"/>
        </w:rPr>
        <w:t xml:space="preserve">ctivities on the data protection </w:t>
      </w:r>
      <w:r w:rsidRPr="003C1910">
        <w:rPr>
          <w:rFonts w:asciiTheme="majorHAnsi" w:hAnsiTheme="majorHAnsi"/>
          <w:b/>
          <w:smallCaps/>
          <w:sz w:val="20"/>
          <w:lang w:val="en-GB"/>
        </w:rPr>
        <w:t>R</w:t>
      </w:r>
      <w:r w:rsidRPr="003C1910">
        <w:rPr>
          <w:rFonts w:asciiTheme="majorHAnsi" w:hAnsiTheme="majorHAnsi"/>
          <w:smallCaps/>
          <w:sz w:val="20"/>
          <w:lang w:val="en-GB"/>
        </w:rPr>
        <w:t>eform</w:t>
      </w:r>
      <w:r w:rsidR="00DD11CB" w:rsidRPr="003C1910">
        <w:rPr>
          <w:rFonts w:asciiTheme="majorHAnsi" w:hAnsiTheme="majorHAnsi"/>
          <w:smallCaps/>
          <w:sz w:val="20"/>
          <w:lang w:val="en-GB"/>
        </w:rPr>
        <w:br/>
      </w:r>
      <w:r w:rsidR="005922CF" w:rsidRPr="003C1910">
        <w:rPr>
          <w:rFonts w:asciiTheme="majorHAnsi" w:hAnsiTheme="majorHAnsi"/>
          <w:sz w:val="20"/>
          <w:szCs w:val="20"/>
          <w:lang w:val="en-GB"/>
        </w:rPr>
        <w:t>project-star.</w:t>
      </w:r>
      <w:r w:rsidR="00DD11CB" w:rsidRPr="003C1910">
        <w:rPr>
          <w:rFonts w:asciiTheme="majorHAnsi" w:hAnsiTheme="majorHAnsi"/>
          <w:sz w:val="20"/>
          <w:szCs w:val="20"/>
          <w:lang w:val="en-GB"/>
        </w:rPr>
        <w:t>eu</w:t>
      </w:r>
    </w:p>
    <w:p w14:paraId="1B63F0AF" w14:textId="77777777" w:rsidR="007B07B7" w:rsidRPr="003C1910" w:rsidRDefault="007B07B7" w:rsidP="00A214D4">
      <w:pPr>
        <w:jc w:val="left"/>
        <w:rPr>
          <w:lang w:val="en-GB"/>
        </w:rPr>
      </w:pPr>
    </w:p>
    <w:p w14:paraId="641517BB" w14:textId="77777777" w:rsidR="00594290" w:rsidRPr="003C1910" w:rsidRDefault="00594290" w:rsidP="00A214D4">
      <w:pPr>
        <w:spacing w:after="0"/>
        <w:jc w:val="left"/>
        <w:rPr>
          <w:lang w:val="en-GB"/>
        </w:rPr>
      </w:pPr>
    </w:p>
    <w:p w14:paraId="5C790F24" w14:textId="77777777" w:rsidR="003D6CB9" w:rsidRPr="003C1910" w:rsidRDefault="003D6CB9" w:rsidP="00A214D4">
      <w:pPr>
        <w:pStyle w:val="Title"/>
        <w:pBdr>
          <w:bottom w:val="none" w:sz="0" w:space="0" w:color="auto"/>
        </w:pBdr>
        <w:jc w:val="left"/>
        <w:rPr>
          <w:b/>
          <w:lang w:val="en-GB"/>
        </w:rPr>
      </w:pPr>
    </w:p>
    <w:p w14:paraId="5249B45C" w14:textId="1500331E" w:rsidR="001635FC" w:rsidRPr="003C1910" w:rsidRDefault="002F5CFA" w:rsidP="00A214D4">
      <w:pPr>
        <w:pStyle w:val="Title"/>
        <w:pBdr>
          <w:bottom w:val="none" w:sz="0" w:space="0" w:color="auto"/>
        </w:pBdr>
        <w:jc w:val="left"/>
        <w:rPr>
          <w:b/>
          <w:lang w:val="en-GB"/>
        </w:rPr>
      </w:pPr>
      <w:r w:rsidRPr="003C1910">
        <w:rPr>
          <w:b/>
          <w:lang w:val="en-GB"/>
        </w:rPr>
        <w:t xml:space="preserve">STAR </w:t>
      </w:r>
      <w:r w:rsidR="00AF6694" w:rsidRPr="003C1910">
        <w:rPr>
          <w:b/>
          <w:lang w:val="en-GB"/>
        </w:rPr>
        <w:t xml:space="preserve">Training materials requirements </w:t>
      </w:r>
    </w:p>
    <w:p w14:paraId="70991DF6" w14:textId="2DF95261" w:rsidR="00D57219" w:rsidRPr="003C1910" w:rsidRDefault="00D57219" w:rsidP="00A214D4">
      <w:pPr>
        <w:jc w:val="left"/>
        <w:rPr>
          <w:lang w:val="en-GB"/>
        </w:rPr>
      </w:pPr>
    </w:p>
    <w:p w14:paraId="3D1F5FD4" w14:textId="128907E2" w:rsidR="001635FC" w:rsidRPr="003C1910" w:rsidRDefault="00AB2504" w:rsidP="00A214D4">
      <w:pPr>
        <w:pStyle w:val="Title"/>
        <w:pBdr>
          <w:bottom w:val="none" w:sz="0" w:space="0" w:color="auto"/>
        </w:pBdr>
        <w:jc w:val="left"/>
        <w:rPr>
          <w:color w:val="FF0000"/>
          <w:sz w:val="16"/>
          <w:szCs w:val="20"/>
          <w:lang w:val="en-GB"/>
        </w:rPr>
      </w:pPr>
      <w:r w:rsidRPr="003C1910">
        <w:rPr>
          <w:sz w:val="32"/>
          <w:szCs w:val="32"/>
          <w:lang w:val="en-GB"/>
        </w:rPr>
        <w:t xml:space="preserve">Deliverable </w:t>
      </w:r>
      <w:r w:rsidR="001C6778" w:rsidRPr="003C1910">
        <w:rPr>
          <w:b/>
          <w:sz w:val="32"/>
          <w:szCs w:val="32"/>
          <w:lang w:val="en-GB"/>
        </w:rPr>
        <w:t>D2.</w:t>
      </w:r>
      <w:r w:rsidR="00AF6694" w:rsidRPr="003C1910">
        <w:rPr>
          <w:b/>
          <w:sz w:val="32"/>
          <w:szCs w:val="32"/>
          <w:lang w:val="en-GB"/>
        </w:rPr>
        <w:t>4</w:t>
      </w:r>
      <w:r w:rsidR="00DD11CB" w:rsidRPr="003C1910">
        <w:rPr>
          <w:b/>
          <w:sz w:val="32"/>
          <w:szCs w:val="32"/>
          <w:lang w:val="en-GB"/>
        </w:rPr>
        <w:br/>
      </w:r>
      <w:r w:rsidR="001C6778" w:rsidRPr="003C1910">
        <w:rPr>
          <w:color w:val="FF0000"/>
          <w:sz w:val="16"/>
          <w:szCs w:val="20"/>
          <w:lang w:val="en-GB"/>
        </w:rPr>
        <w:t>Version</w:t>
      </w:r>
      <w:r w:rsidR="00300393" w:rsidRPr="003C1910">
        <w:rPr>
          <w:color w:val="FF0000"/>
          <w:sz w:val="16"/>
          <w:szCs w:val="20"/>
          <w:lang w:val="en-GB"/>
        </w:rPr>
        <w:t xml:space="preserve"> 0.</w:t>
      </w:r>
      <w:r w:rsidR="00AF6694" w:rsidRPr="003C1910">
        <w:rPr>
          <w:color w:val="FF0000"/>
          <w:sz w:val="16"/>
          <w:szCs w:val="20"/>
          <w:lang w:val="en-GB"/>
        </w:rPr>
        <w:t>1</w:t>
      </w:r>
    </w:p>
    <w:p w14:paraId="77AC0C6C" w14:textId="07103C06" w:rsidR="007B07B7" w:rsidRPr="003C1910" w:rsidRDefault="007B07B7" w:rsidP="00A214D4">
      <w:pPr>
        <w:rPr>
          <w:lang w:val="en-GB"/>
        </w:rPr>
      </w:pPr>
    </w:p>
    <w:p w14:paraId="1E658538" w14:textId="77777777" w:rsidR="00DD2B4A" w:rsidRPr="003C1910" w:rsidRDefault="00DD2B4A" w:rsidP="00A214D4">
      <w:pPr>
        <w:rPr>
          <w:lang w:val="en-GB"/>
        </w:rPr>
      </w:pPr>
    </w:p>
    <w:p w14:paraId="37B48418" w14:textId="38B90BB3" w:rsidR="00DD2B4A" w:rsidRPr="003C1910" w:rsidRDefault="00DD0A11" w:rsidP="00A214D4">
      <w:pPr>
        <w:rPr>
          <w:lang w:val="en-GB"/>
        </w:rPr>
      </w:pPr>
      <w:r>
        <w:rPr>
          <w:noProof/>
          <w:lang w:val="en-GB" w:eastAsia="it-IT"/>
        </w:rPr>
        <w:drawing>
          <wp:inline distT="0" distB="0" distL="0" distR="0" wp14:anchorId="04D4CDAA" wp14:editId="5FF73185">
            <wp:extent cx="6275754" cy="273558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thtoStock_ModernWorkshop-08.jpg"/>
                    <pic:cNvPicPr/>
                  </pic:nvPicPr>
                  <pic:blipFill>
                    <a:blip r:embed="rId15"/>
                    <a:stretch>
                      <a:fillRect/>
                    </a:stretch>
                  </pic:blipFill>
                  <pic:spPr>
                    <a:xfrm>
                      <a:off x="0" y="0"/>
                      <a:ext cx="6313470" cy="2752024"/>
                    </a:xfrm>
                    <a:prstGeom prst="rect">
                      <a:avLst/>
                    </a:prstGeom>
                  </pic:spPr>
                </pic:pic>
              </a:graphicData>
            </a:graphic>
          </wp:inline>
        </w:drawing>
      </w:r>
    </w:p>
    <w:p w14:paraId="55172AC2" w14:textId="66986291" w:rsidR="00593D6C" w:rsidRPr="003C1910" w:rsidRDefault="00593D6C" w:rsidP="00A214D4">
      <w:pPr>
        <w:rPr>
          <w:sz w:val="32"/>
          <w:lang w:val="en-GB"/>
        </w:rPr>
      </w:pPr>
    </w:p>
    <w:p w14:paraId="1110EC50" w14:textId="14D71B4D" w:rsidR="001E4A96" w:rsidRPr="003C1910" w:rsidRDefault="00697252"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 xml:space="preserve">David Barnard-Wills, </w:t>
      </w: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Filippo Marchetti</w:t>
      </w:r>
    </w:p>
    <w:p w14:paraId="51467B39" w14:textId="7F0A36E7" w:rsidR="001E4A96" w:rsidRDefault="001E4A96"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45E94124" w14:textId="77777777" w:rsidR="00593D6C"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73177961" w14:textId="77777777" w:rsidR="00593D6C" w:rsidRPr="003C1910"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7F22276" w14:textId="04CD1AFE" w:rsidR="006369B7" w:rsidRPr="003C1910" w:rsidRDefault="005D66E8" w:rsidP="00A214D4">
      <w:pPr>
        <w:pStyle w:val="Title"/>
        <w:pBdr>
          <w:bottom w:val="none" w:sz="0" w:space="0" w:color="auto"/>
        </w:pBdr>
        <w:jc w:val="left"/>
        <w:rPr>
          <w:b/>
          <w:sz w:val="20"/>
          <w:szCs w:val="24"/>
          <w:lang w:val="en-GB"/>
        </w:rPr>
      </w:pPr>
      <w:r w:rsidRPr="003C1910">
        <w:rPr>
          <w:sz w:val="20"/>
          <w:szCs w:val="24"/>
          <w:lang w:val="en-GB"/>
        </w:rPr>
        <w:t>Brussels – London</w:t>
      </w:r>
      <w:r w:rsidR="003C041D" w:rsidRPr="003C1910">
        <w:rPr>
          <w:sz w:val="20"/>
          <w:szCs w:val="24"/>
          <w:lang w:val="en-GB"/>
        </w:rPr>
        <w:t xml:space="preserve"> – Budapest</w:t>
      </w:r>
      <w:r w:rsidRPr="003C1910">
        <w:rPr>
          <w:sz w:val="20"/>
          <w:szCs w:val="24"/>
          <w:lang w:val="en-GB"/>
        </w:rPr>
        <w:br/>
      </w:r>
      <w:r w:rsidR="00AF6694" w:rsidRPr="003C1910">
        <w:rPr>
          <w:b/>
          <w:sz w:val="20"/>
          <w:szCs w:val="24"/>
          <w:lang w:val="en-GB"/>
        </w:rPr>
        <w:t>30 May</w:t>
      </w:r>
      <w:r w:rsidR="00AF5ABE" w:rsidRPr="003C1910">
        <w:rPr>
          <w:b/>
          <w:sz w:val="20"/>
          <w:szCs w:val="24"/>
          <w:lang w:val="en-GB"/>
        </w:rPr>
        <w:t xml:space="preserve"> 2018</w:t>
      </w:r>
    </w:p>
    <w:p w14:paraId="3F20B9CC" w14:textId="77777777" w:rsidR="008260C1" w:rsidRPr="003C1910" w:rsidRDefault="008260C1" w:rsidP="00A214D4">
      <w:pPr>
        <w:pStyle w:val="Title"/>
        <w:pBdr>
          <w:bottom w:val="none" w:sz="0" w:space="0" w:color="auto"/>
        </w:pBdr>
        <w:jc w:val="left"/>
        <w:rPr>
          <w:sz w:val="20"/>
          <w:szCs w:val="24"/>
          <w:lang w:val="en-GB"/>
        </w:rPr>
      </w:pPr>
    </w:p>
    <w:p w14:paraId="65849209" w14:textId="37E63121" w:rsidR="008260C1" w:rsidRPr="003C1910" w:rsidRDefault="008260C1" w:rsidP="00A214D4">
      <w:pPr>
        <w:pStyle w:val="Title"/>
        <w:pBdr>
          <w:bottom w:val="none" w:sz="0" w:space="0" w:color="auto"/>
        </w:pBdr>
        <w:jc w:val="left"/>
        <w:rPr>
          <w:sz w:val="20"/>
          <w:szCs w:val="24"/>
          <w:lang w:val="en-GB"/>
        </w:rPr>
      </w:pPr>
      <w:r w:rsidRPr="003C1910">
        <w:rPr>
          <w:sz w:val="20"/>
          <w:szCs w:val="24"/>
          <w:lang w:val="en-GB"/>
        </w:rPr>
        <w:t xml:space="preserve">distribution level: </w:t>
      </w:r>
      <w:r w:rsidR="00AF5ABE" w:rsidRPr="003C1910">
        <w:rPr>
          <w:b/>
          <w:sz w:val="20"/>
          <w:szCs w:val="24"/>
          <w:lang w:val="en-GB"/>
        </w:rPr>
        <w:t>consortium confidential</w:t>
      </w:r>
    </w:p>
    <w:p w14:paraId="29E355B0" w14:textId="62AED255" w:rsidR="00595878" w:rsidRPr="003C1910" w:rsidRDefault="004B7093" w:rsidP="00A214D4">
      <w:pPr>
        <w:spacing w:after="0"/>
        <w:jc w:val="left"/>
        <w:rPr>
          <w:b/>
          <w:lang w:val="en-GB"/>
        </w:rPr>
      </w:pPr>
      <w:r w:rsidRPr="003C1910">
        <w:rPr>
          <w:rFonts w:ascii="Times" w:hAnsi="Times" w:cs="Times"/>
          <w:noProof/>
          <w:sz w:val="24"/>
          <w:lang w:val="en-GB" w:eastAsia="it-IT"/>
        </w:rPr>
        <w:drawing>
          <wp:anchor distT="0" distB="0" distL="114300" distR="114300" simplePos="0" relativeHeight="251682816" behindDoc="0" locked="0" layoutInCell="1" allowOverlap="1" wp14:anchorId="34C5AFFD" wp14:editId="7EA22F5C">
            <wp:simplePos x="0" y="0"/>
            <wp:positionH relativeFrom="column">
              <wp:posOffset>5031740</wp:posOffset>
            </wp:positionH>
            <wp:positionV relativeFrom="paragraph">
              <wp:posOffset>139065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RPr="003C1910" w14:paraId="10036797" w14:textId="77777777" w:rsidTr="003C041D">
        <w:tc>
          <w:tcPr>
            <w:tcW w:w="7691" w:type="dxa"/>
          </w:tcPr>
          <w:p w14:paraId="115B026E" w14:textId="77777777" w:rsidR="0024541A" w:rsidRPr="003C1910" w:rsidRDefault="0024541A" w:rsidP="00A214D4">
            <w:pPr>
              <w:jc w:val="left"/>
              <w:rPr>
                <w:rFonts w:asciiTheme="majorHAnsi" w:hAnsiTheme="majorHAnsi"/>
                <w:lang w:val="en-GB"/>
              </w:rPr>
            </w:pPr>
            <w:r w:rsidRPr="003C1910">
              <w:rPr>
                <w:noProof/>
                <w:lang w:val="en-GB" w:eastAsia="it-IT"/>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7">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3C1910">
              <w:rPr>
                <w:lang w:val="en-GB"/>
              </w:rPr>
              <w:t xml:space="preserve">     </w:t>
            </w:r>
            <w:r w:rsidR="00F67630" w:rsidRPr="003C1910">
              <w:rPr>
                <w:noProof/>
                <w:lang w:val="en-GB" w:eastAsia="it-IT"/>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sidRPr="003C1910">
              <w:rPr>
                <w:lang w:val="en-GB"/>
              </w:rPr>
              <w:t xml:space="preserve">     </w:t>
            </w:r>
            <w:r w:rsidRPr="003C1910">
              <w:rPr>
                <w:noProof/>
                <w:lang w:val="en-GB" w:eastAsia="it-IT"/>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6B78DFFE" w14:textId="0F76FC04" w:rsidR="0024541A" w:rsidRPr="003C1910" w:rsidRDefault="0024541A" w:rsidP="00A214D4">
            <w:pPr>
              <w:spacing w:after="0"/>
              <w:jc w:val="left"/>
              <w:rPr>
                <w:rFonts w:asciiTheme="majorHAnsi" w:hAnsiTheme="majorHAnsi"/>
                <w:lang w:val="en-GB"/>
              </w:rPr>
            </w:pPr>
          </w:p>
          <w:p w14:paraId="17360FA8" w14:textId="77777777" w:rsidR="0024541A" w:rsidRPr="003C1910" w:rsidRDefault="0024541A" w:rsidP="00A214D4">
            <w:pPr>
              <w:jc w:val="left"/>
              <w:rPr>
                <w:rFonts w:asciiTheme="majorHAnsi" w:hAnsiTheme="majorHAnsi"/>
                <w:lang w:val="en-GB"/>
              </w:rPr>
            </w:pPr>
          </w:p>
        </w:tc>
      </w:tr>
    </w:tbl>
    <w:p w14:paraId="6DA9D13D" w14:textId="77777777" w:rsidR="001333D0" w:rsidRPr="003C1910" w:rsidRDefault="001333D0" w:rsidP="00A214D4">
      <w:pPr>
        <w:rPr>
          <w:sz w:val="4"/>
          <w:szCs w:val="4"/>
          <w:lang w:val="en-GB"/>
        </w:rPr>
      </w:pPr>
    </w:p>
    <w:p w14:paraId="26CCF2A5" w14:textId="77777777" w:rsidR="00D57219" w:rsidRPr="003C1910" w:rsidRDefault="00D57219" w:rsidP="00A214D4">
      <w:pPr>
        <w:rPr>
          <w:sz w:val="4"/>
          <w:szCs w:val="4"/>
          <w:lang w:val="en-GB"/>
        </w:rPr>
        <w:sectPr w:rsidR="00D57219" w:rsidRPr="003C1910" w:rsidSect="00BD227D">
          <w:headerReference w:type="default" r:id="rId20"/>
          <w:footerReference w:type="even" r:id="rId21"/>
          <w:footerReference w:type="default" r:id="rId22"/>
          <w:headerReference w:type="first" r:id="rId23"/>
          <w:pgSz w:w="11900" w:h="16840"/>
          <w:pgMar w:top="567" w:right="1418" w:bottom="567" w:left="1418" w:header="709" w:footer="709" w:gutter="0"/>
          <w:cols w:space="708"/>
          <w:titlePg/>
          <w:docGrid w:linePitch="360"/>
        </w:sectPr>
      </w:pPr>
    </w:p>
    <w:p w14:paraId="1F85638F" w14:textId="5D8C0D18" w:rsidR="00580827" w:rsidRPr="003C1910" w:rsidRDefault="00580827" w:rsidP="00A214D4">
      <w:pPr>
        <w:jc w:val="left"/>
        <w:rPr>
          <w:b/>
          <w:lang w:val="en-GB"/>
        </w:rPr>
      </w:pPr>
      <w:r w:rsidRPr="003C1910">
        <w:rPr>
          <w:b/>
          <w:lang w:val="en-GB"/>
        </w:rPr>
        <w:lastRenderedPageBreak/>
        <w:t>A report prepared for the European Commission</w:t>
      </w:r>
      <w:r w:rsidR="00D033D0">
        <w:rPr>
          <w:b/>
          <w:lang w:val="en-GB"/>
        </w:rPr>
        <w:t>’</w:t>
      </w:r>
      <w:r w:rsidRPr="003C1910">
        <w:rPr>
          <w:b/>
          <w:lang w:val="en-GB"/>
        </w:rPr>
        <w:t xml:space="preserve">s Directorate-General for Justice and Consumers (DG JUST). </w:t>
      </w:r>
    </w:p>
    <w:p w14:paraId="5B492097" w14:textId="77777777" w:rsidR="009C000E" w:rsidRPr="003C1910" w:rsidRDefault="007406C2" w:rsidP="00A214D4">
      <w:pPr>
        <w:jc w:val="left"/>
        <w:rPr>
          <w:lang w:val="en-GB"/>
        </w:rPr>
      </w:pPr>
      <w:r w:rsidRPr="003C1910">
        <w:rPr>
          <w:lang w:val="en-GB"/>
        </w:rPr>
        <w:t xml:space="preserve">The </w:t>
      </w:r>
      <w:r w:rsidR="00C2574C" w:rsidRPr="003C1910">
        <w:rPr>
          <w:lang w:val="en-GB"/>
        </w:rPr>
        <w:t xml:space="preserve">STAR project </w:t>
      </w:r>
      <w:r w:rsidR="00FF0FC1" w:rsidRPr="003C1910">
        <w:rPr>
          <w:lang w:val="en-GB"/>
        </w:rPr>
        <w:t>(</w:t>
      </w:r>
      <w:r w:rsidR="00FF0FC1" w:rsidRPr="003C1910">
        <w:rPr>
          <w:i/>
          <w:lang w:val="en-GB"/>
        </w:rPr>
        <w:t>Support Training Activities on the data protection Reform</w:t>
      </w:r>
      <w:r w:rsidR="00482B8E" w:rsidRPr="003C1910">
        <w:rPr>
          <w:lang w:val="en-GB"/>
        </w:rPr>
        <w:t>; 2017-2019</w:t>
      </w:r>
      <w:r w:rsidR="00FF0FC1" w:rsidRPr="003C1910">
        <w:rPr>
          <w:lang w:val="en-GB"/>
        </w:rPr>
        <w:t xml:space="preserve">) </w:t>
      </w:r>
      <w:r w:rsidR="002C08D1" w:rsidRPr="003C1910">
        <w:rPr>
          <w:lang w:val="en-GB"/>
        </w:rPr>
        <w:t>is co-funded by </w:t>
      </w:r>
      <w:r w:rsidR="00C2574C" w:rsidRPr="003C1910">
        <w:rPr>
          <w:lang w:val="en-GB"/>
        </w:rPr>
        <w:t>the European Union under the Rights, Equality and Citizenship Programme 2014-2020 (REC-RDAT-TRAI-A</w:t>
      </w:r>
      <w:r w:rsidR="00613311" w:rsidRPr="003C1910">
        <w:rPr>
          <w:lang w:val="en-GB"/>
        </w:rPr>
        <w:t>G-2016) under Grant Agreement No</w:t>
      </w:r>
      <w:r w:rsidR="00C2574C" w:rsidRPr="003C1910">
        <w:rPr>
          <w:lang w:val="en-GB"/>
        </w:rPr>
        <w:t>. 769138</w:t>
      </w:r>
      <w:r w:rsidR="00956F70" w:rsidRPr="003C1910">
        <w:rPr>
          <w:lang w:val="en-GB"/>
        </w:rPr>
        <w:t>.</w:t>
      </w:r>
    </w:p>
    <w:p w14:paraId="1F74312D" w14:textId="77777777" w:rsidR="00580827" w:rsidRPr="003C1910" w:rsidRDefault="00580827" w:rsidP="00A214D4">
      <w:pPr>
        <w:jc w:val="left"/>
        <w:rPr>
          <w:lang w:val="en-GB"/>
        </w:rPr>
      </w:pPr>
      <w:r w:rsidRPr="003C1910">
        <w:rPr>
          <w:lang w:val="en-GB"/>
        </w:rPr>
        <w:t>The contents of this deliverable are the sole responsibility of the authors and can in no way be taken to reflect the views of the European Commission.</w:t>
      </w:r>
    </w:p>
    <w:p w14:paraId="478F498A" w14:textId="77777777" w:rsidR="00046BFB" w:rsidRPr="003C1910" w:rsidRDefault="00046BFB" w:rsidP="00A214D4">
      <w:pPr>
        <w:jc w:val="left"/>
        <w:rPr>
          <w:lang w:val="en-GB"/>
        </w:rPr>
      </w:pPr>
    </w:p>
    <w:p w14:paraId="5F0503D4" w14:textId="52D08C09" w:rsidR="00E63DF3" w:rsidRPr="003C1910" w:rsidRDefault="00524120" w:rsidP="00A214D4">
      <w:pPr>
        <w:jc w:val="left"/>
        <w:rPr>
          <w:rFonts w:asciiTheme="majorHAnsi" w:hAnsiTheme="majorHAnsi"/>
          <w:szCs w:val="20"/>
          <w:lang w:val="en-GB"/>
        </w:rPr>
      </w:pPr>
      <w:r w:rsidRPr="003C1910">
        <w:rPr>
          <w:rFonts w:asciiTheme="majorHAnsi" w:hAnsiTheme="majorHAnsi"/>
          <w:szCs w:val="20"/>
          <w:lang w:val="en-GB"/>
        </w:rPr>
        <w:t>Permanent link:</w:t>
      </w:r>
      <w:r w:rsidRPr="003C1910">
        <w:rPr>
          <w:rFonts w:asciiTheme="majorHAnsi" w:hAnsiTheme="majorHAnsi"/>
          <w:szCs w:val="20"/>
          <w:lang w:val="en-GB"/>
        </w:rPr>
        <w:br/>
      </w:r>
      <w:r w:rsidR="00164BE1" w:rsidRPr="003C1910">
        <w:rPr>
          <w:rFonts w:asciiTheme="majorHAnsi" w:hAnsiTheme="majorHAnsi"/>
          <w:szCs w:val="20"/>
          <w:lang w:val="en-GB"/>
        </w:rPr>
        <w:t>N/A</w:t>
      </w:r>
    </w:p>
    <w:p w14:paraId="1F35C0ED" w14:textId="77777777" w:rsidR="00524120" w:rsidRPr="003C1910" w:rsidRDefault="00524120" w:rsidP="00A214D4">
      <w:pPr>
        <w:spacing w:after="0"/>
        <w:jc w:val="left"/>
        <w:rPr>
          <w:lang w:val="en-GB"/>
        </w:rPr>
      </w:pPr>
    </w:p>
    <w:tbl>
      <w:tblPr>
        <w:tblStyle w:val="TableGrid"/>
        <w:tblW w:w="0" w:type="auto"/>
        <w:tblLook w:val="04A0" w:firstRow="1" w:lastRow="0" w:firstColumn="1" w:lastColumn="0" w:noHBand="0" w:noVBand="1"/>
      </w:tblPr>
      <w:tblGrid>
        <w:gridCol w:w="2424"/>
        <w:gridCol w:w="1536"/>
      </w:tblGrid>
      <w:tr w:rsidR="00524120" w:rsidRPr="003C1910" w14:paraId="166AF58E" w14:textId="77777777" w:rsidTr="00975FB6">
        <w:tc>
          <w:tcPr>
            <w:tcW w:w="3227" w:type="dxa"/>
            <w:gridSpan w:val="2"/>
            <w:shd w:val="clear" w:color="auto" w:fill="244061" w:themeFill="accent1" w:themeFillShade="80"/>
          </w:tcPr>
          <w:p w14:paraId="6C370941" w14:textId="77777777" w:rsidR="00524120" w:rsidRPr="003C1910" w:rsidRDefault="00524120" w:rsidP="00A214D4">
            <w:pPr>
              <w:spacing w:after="0"/>
              <w:jc w:val="left"/>
              <w:rPr>
                <w:b/>
                <w:lang w:val="en-GB"/>
              </w:rPr>
            </w:pPr>
            <w:r w:rsidRPr="003C1910">
              <w:rPr>
                <w:b/>
                <w:lang w:val="en-GB"/>
              </w:rPr>
              <w:t>Authors</w:t>
            </w:r>
          </w:p>
        </w:tc>
      </w:tr>
      <w:tr w:rsidR="00524120" w:rsidRPr="003C1910" w14:paraId="1383F194" w14:textId="77777777" w:rsidTr="00975FB6">
        <w:tc>
          <w:tcPr>
            <w:tcW w:w="0" w:type="auto"/>
            <w:shd w:val="clear" w:color="auto" w:fill="B8CCE4" w:themeFill="accent1" w:themeFillTint="66"/>
          </w:tcPr>
          <w:p w14:paraId="205B14A4" w14:textId="77777777" w:rsidR="00524120" w:rsidRPr="003C1910" w:rsidRDefault="00524120" w:rsidP="00A214D4">
            <w:pPr>
              <w:spacing w:after="0"/>
              <w:jc w:val="left"/>
              <w:rPr>
                <w:b/>
                <w:lang w:val="en-GB"/>
              </w:rPr>
            </w:pPr>
            <w:r w:rsidRPr="003C1910">
              <w:rPr>
                <w:b/>
                <w:lang w:val="en-GB"/>
              </w:rPr>
              <w:t>Name</w:t>
            </w:r>
          </w:p>
        </w:tc>
        <w:tc>
          <w:tcPr>
            <w:tcW w:w="1536" w:type="dxa"/>
            <w:shd w:val="clear" w:color="auto" w:fill="B8CCE4" w:themeFill="accent1" w:themeFillTint="66"/>
          </w:tcPr>
          <w:p w14:paraId="61339910" w14:textId="77777777" w:rsidR="00524120" w:rsidRPr="003C1910" w:rsidRDefault="00524120" w:rsidP="00A214D4">
            <w:pPr>
              <w:spacing w:after="0"/>
              <w:jc w:val="left"/>
              <w:rPr>
                <w:b/>
                <w:lang w:val="en-GB"/>
              </w:rPr>
            </w:pPr>
            <w:r w:rsidRPr="003C1910">
              <w:rPr>
                <w:b/>
                <w:lang w:val="en-GB"/>
              </w:rPr>
              <w:t>Partner</w:t>
            </w:r>
          </w:p>
        </w:tc>
      </w:tr>
      <w:tr w:rsidR="00524120" w:rsidRPr="003C1910" w14:paraId="4898C921" w14:textId="77777777" w:rsidTr="00975FB6">
        <w:tc>
          <w:tcPr>
            <w:tcW w:w="0" w:type="auto"/>
          </w:tcPr>
          <w:p w14:paraId="47D76A6B" w14:textId="3B93A2E3" w:rsidR="00524120" w:rsidRPr="003C1910" w:rsidRDefault="00697252" w:rsidP="00A214D4">
            <w:pPr>
              <w:spacing w:after="0"/>
              <w:jc w:val="left"/>
              <w:rPr>
                <w:lang w:val="en-GB"/>
              </w:rPr>
            </w:pPr>
            <w:r>
              <w:rPr>
                <w:lang w:val="en-GB"/>
              </w:rPr>
              <w:t xml:space="preserve">Dr </w:t>
            </w:r>
            <w:r w:rsidR="00AF6694" w:rsidRPr="003C1910">
              <w:rPr>
                <w:lang w:val="en-GB"/>
              </w:rPr>
              <w:t>David Barnard-Wills</w:t>
            </w:r>
          </w:p>
        </w:tc>
        <w:tc>
          <w:tcPr>
            <w:tcW w:w="1536" w:type="dxa"/>
          </w:tcPr>
          <w:p w14:paraId="2E1A78CB" w14:textId="27D12288" w:rsidR="00524120" w:rsidRPr="003C1910" w:rsidRDefault="004B7093" w:rsidP="00A214D4">
            <w:pPr>
              <w:spacing w:after="0"/>
              <w:jc w:val="left"/>
              <w:rPr>
                <w:lang w:val="en-GB"/>
              </w:rPr>
            </w:pPr>
            <w:r w:rsidRPr="003C1910">
              <w:rPr>
                <w:lang w:val="en-GB"/>
              </w:rPr>
              <w:t>TRI</w:t>
            </w:r>
          </w:p>
        </w:tc>
      </w:tr>
      <w:tr w:rsidR="00524120" w:rsidRPr="003C1910" w14:paraId="5487382C" w14:textId="77777777" w:rsidTr="00975FB6">
        <w:tc>
          <w:tcPr>
            <w:tcW w:w="0" w:type="auto"/>
          </w:tcPr>
          <w:p w14:paraId="2868D879" w14:textId="0904C6AB" w:rsidR="00524120" w:rsidRPr="003C1910" w:rsidRDefault="00697252" w:rsidP="00A214D4">
            <w:pPr>
              <w:spacing w:after="0"/>
              <w:jc w:val="left"/>
              <w:rPr>
                <w:lang w:val="en-GB"/>
              </w:rPr>
            </w:pPr>
            <w:r>
              <w:rPr>
                <w:lang w:val="en-GB"/>
              </w:rPr>
              <w:t xml:space="preserve">Dr </w:t>
            </w:r>
            <w:r w:rsidR="00AF6694" w:rsidRPr="003C1910">
              <w:rPr>
                <w:lang w:val="en-GB"/>
              </w:rPr>
              <w:t>Filippo Marchetti</w:t>
            </w:r>
          </w:p>
        </w:tc>
        <w:tc>
          <w:tcPr>
            <w:tcW w:w="1536" w:type="dxa"/>
          </w:tcPr>
          <w:p w14:paraId="5945597F" w14:textId="6BAB89E5" w:rsidR="00524120" w:rsidRPr="003C1910" w:rsidRDefault="004B7093" w:rsidP="00A214D4">
            <w:pPr>
              <w:spacing w:after="0"/>
              <w:jc w:val="left"/>
              <w:rPr>
                <w:lang w:val="en-GB"/>
              </w:rPr>
            </w:pPr>
            <w:r w:rsidRPr="003C1910">
              <w:rPr>
                <w:lang w:val="en-GB"/>
              </w:rPr>
              <w:t>TRI</w:t>
            </w:r>
          </w:p>
        </w:tc>
      </w:tr>
      <w:tr w:rsidR="00524120" w:rsidRPr="003C1910" w14:paraId="5C97A1BA" w14:textId="77777777" w:rsidTr="00975FB6">
        <w:tc>
          <w:tcPr>
            <w:tcW w:w="0" w:type="auto"/>
          </w:tcPr>
          <w:p w14:paraId="6282E46C" w14:textId="7C656D2B" w:rsidR="00AF6694" w:rsidRPr="003C1910" w:rsidRDefault="00AF6694" w:rsidP="00A214D4">
            <w:pPr>
              <w:spacing w:after="0"/>
              <w:jc w:val="left"/>
              <w:rPr>
                <w:lang w:val="en-GB"/>
              </w:rPr>
            </w:pPr>
            <w:r w:rsidRPr="003C1910">
              <w:rPr>
                <w:lang w:val="en-GB"/>
              </w:rPr>
              <w:t>David Wright</w:t>
            </w:r>
          </w:p>
        </w:tc>
        <w:tc>
          <w:tcPr>
            <w:tcW w:w="1536" w:type="dxa"/>
          </w:tcPr>
          <w:p w14:paraId="5281E76A" w14:textId="61D903E5" w:rsidR="00524120" w:rsidRPr="003C1910" w:rsidRDefault="004B7093" w:rsidP="00A214D4">
            <w:pPr>
              <w:spacing w:after="0"/>
              <w:jc w:val="left"/>
              <w:rPr>
                <w:lang w:val="en-GB"/>
              </w:rPr>
            </w:pPr>
            <w:r w:rsidRPr="003C1910">
              <w:rPr>
                <w:lang w:val="en-GB"/>
              </w:rPr>
              <w:t>TRI</w:t>
            </w:r>
          </w:p>
        </w:tc>
      </w:tr>
    </w:tbl>
    <w:p w14:paraId="40243CB4" w14:textId="77777777" w:rsidR="00524120" w:rsidRPr="003C1910" w:rsidRDefault="00524120" w:rsidP="00A214D4">
      <w:pPr>
        <w:spacing w:after="0"/>
        <w:jc w:val="left"/>
        <w:rPr>
          <w:b/>
          <w:lang w:val="en-GB"/>
        </w:rPr>
      </w:pPr>
    </w:p>
    <w:tbl>
      <w:tblPr>
        <w:tblStyle w:val="TableGrid"/>
        <w:tblW w:w="0" w:type="auto"/>
        <w:tblLook w:val="04A0" w:firstRow="1" w:lastRow="0" w:firstColumn="1" w:lastColumn="0" w:noHBand="0" w:noVBand="1"/>
      </w:tblPr>
      <w:tblGrid>
        <w:gridCol w:w="2405"/>
        <w:gridCol w:w="1559"/>
      </w:tblGrid>
      <w:tr w:rsidR="00524120" w:rsidRPr="003C1910" w14:paraId="42E08922" w14:textId="77777777" w:rsidTr="00697252">
        <w:tc>
          <w:tcPr>
            <w:tcW w:w="3964" w:type="dxa"/>
            <w:gridSpan w:val="2"/>
            <w:shd w:val="clear" w:color="auto" w:fill="244061" w:themeFill="accent1" w:themeFillShade="80"/>
          </w:tcPr>
          <w:p w14:paraId="4939A0F4" w14:textId="77777777" w:rsidR="00524120" w:rsidRPr="003C1910" w:rsidRDefault="00524120" w:rsidP="00A214D4">
            <w:pPr>
              <w:spacing w:after="0"/>
              <w:jc w:val="left"/>
              <w:rPr>
                <w:b/>
                <w:lang w:val="en-GB"/>
              </w:rPr>
            </w:pPr>
            <w:r w:rsidRPr="003C1910">
              <w:rPr>
                <w:b/>
                <w:lang w:val="en-GB"/>
              </w:rPr>
              <w:t>Contributors</w:t>
            </w:r>
          </w:p>
        </w:tc>
      </w:tr>
      <w:tr w:rsidR="00524120" w:rsidRPr="003C1910" w14:paraId="3CC3645A" w14:textId="77777777" w:rsidTr="00697252">
        <w:tc>
          <w:tcPr>
            <w:tcW w:w="2405" w:type="dxa"/>
            <w:shd w:val="clear" w:color="auto" w:fill="B8CCE4" w:themeFill="accent1" w:themeFillTint="66"/>
          </w:tcPr>
          <w:p w14:paraId="3AF9A4AF" w14:textId="77777777" w:rsidR="00524120" w:rsidRPr="003C1910" w:rsidRDefault="00524120" w:rsidP="00A214D4">
            <w:pPr>
              <w:spacing w:after="0"/>
              <w:jc w:val="left"/>
              <w:rPr>
                <w:b/>
                <w:lang w:val="en-GB"/>
              </w:rPr>
            </w:pPr>
            <w:r w:rsidRPr="003C1910">
              <w:rPr>
                <w:b/>
                <w:lang w:val="en-GB"/>
              </w:rPr>
              <w:t>Name</w:t>
            </w:r>
          </w:p>
        </w:tc>
        <w:tc>
          <w:tcPr>
            <w:tcW w:w="1559" w:type="dxa"/>
            <w:shd w:val="clear" w:color="auto" w:fill="B8CCE4" w:themeFill="accent1" w:themeFillTint="66"/>
          </w:tcPr>
          <w:p w14:paraId="162FA46B" w14:textId="77777777" w:rsidR="00524120" w:rsidRPr="003C1910" w:rsidRDefault="00524120" w:rsidP="00A214D4">
            <w:pPr>
              <w:spacing w:after="0"/>
              <w:jc w:val="left"/>
              <w:rPr>
                <w:b/>
                <w:lang w:val="en-GB"/>
              </w:rPr>
            </w:pPr>
            <w:r w:rsidRPr="003C1910">
              <w:rPr>
                <w:b/>
                <w:lang w:val="en-GB"/>
              </w:rPr>
              <w:t>Partner</w:t>
            </w:r>
          </w:p>
        </w:tc>
      </w:tr>
      <w:tr w:rsidR="00524120" w:rsidRPr="003C1910" w14:paraId="72B5FB79" w14:textId="77777777" w:rsidTr="00697252">
        <w:tc>
          <w:tcPr>
            <w:tcW w:w="2405" w:type="dxa"/>
          </w:tcPr>
          <w:p w14:paraId="2EEDB57A" w14:textId="1AA53FDD" w:rsidR="00524120" w:rsidRPr="003C1910" w:rsidRDefault="00AF6694" w:rsidP="00A214D4">
            <w:pPr>
              <w:spacing w:after="0"/>
              <w:jc w:val="left"/>
              <w:rPr>
                <w:lang w:val="en-GB"/>
              </w:rPr>
            </w:pPr>
            <w:r w:rsidRPr="003C1910">
              <w:rPr>
                <w:lang w:val="en-GB"/>
              </w:rPr>
              <w:t>Istvan Borocz</w:t>
            </w:r>
          </w:p>
        </w:tc>
        <w:tc>
          <w:tcPr>
            <w:tcW w:w="1559" w:type="dxa"/>
          </w:tcPr>
          <w:p w14:paraId="7057C88F" w14:textId="0CDA4E13" w:rsidR="00524120" w:rsidRPr="003C1910" w:rsidRDefault="00AF6694" w:rsidP="00A214D4">
            <w:pPr>
              <w:spacing w:after="0"/>
              <w:jc w:val="left"/>
              <w:rPr>
                <w:lang w:val="en-GB"/>
              </w:rPr>
            </w:pPr>
            <w:r w:rsidRPr="003C1910">
              <w:rPr>
                <w:lang w:val="en-GB"/>
              </w:rPr>
              <w:t>VUB</w:t>
            </w:r>
          </w:p>
        </w:tc>
      </w:tr>
      <w:tr w:rsidR="00524120" w:rsidRPr="003C1910" w14:paraId="4358E3F0" w14:textId="77777777" w:rsidTr="00697252">
        <w:tc>
          <w:tcPr>
            <w:tcW w:w="2405" w:type="dxa"/>
          </w:tcPr>
          <w:p w14:paraId="4A7D55F4" w14:textId="43A47AE6" w:rsidR="00524120" w:rsidRPr="003C1910" w:rsidRDefault="00AF6694" w:rsidP="00A214D4">
            <w:pPr>
              <w:spacing w:after="0"/>
              <w:jc w:val="left"/>
              <w:rPr>
                <w:lang w:val="en-GB"/>
              </w:rPr>
            </w:pPr>
            <w:r w:rsidRPr="003C1910">
              <w:rPr>
                <w:lang w:val="en-GB"/>
              </w:rPr>
              <w:t>Gabor Kulitsan</w:t>
            </w:r>
          </w:p>
        </w:tc>
        <w:tc>
          <w:tcPr>
            <w:tcW w:w="1559" w:type="dxa"/>
          </w:tcPr>
          <w:p w14:paraId="45575B5D" w14:textId="3F103360" w:rsidR="00524120" w:rsidRPr="003C1910" w:rsidRDefault="00AF6694" w:rsidP="00A214D4">
            <w:pPr>
              <w:spacing w:after="0"/>
              <w:jc w:val="left"/>
              <w:rPr>
                <w:lang w:val="en-GB"/>
              </w:rPr>
            </w:pPr>
            <w:r w:rsidRPr="003C1910">
              <w:rPr>
                <w:lang w:val="en-GB"/>
              </w:rPr>
              <w:t>NAIH</w:t>
            </w:r>
          </w:p>
        </w:tc>
      </w:tr>
      <w:tr w:rsidR="00524120" w:rsidRPr="003C1910" w14:paraId="0E09C559" w14:textId="77777777" w:rsidTr="00697252">
        <w:tc>
          <w:tcPr>
            <w:tcW w:w="2405" w:type="dxa"/>
          </w:tcPr>
          <w:p w14:paraId="442D5045" w14:textId="77777777" w:rsidR="00524120" w:rsidRPr="003C1910" w:rsidRDefault="00524120" w:rsidP="00A214D4">
            <w:pPr>
              <w:spacing w:after="0"/>
              <w:jc w:val="left"/>
              <w:rPr>
                <w:i/>
                <w:lang w:val="en-GB"/>
              </w:rPr>
            </w:pPr>
          </w:p>
        </w:tc>
        <w:tc>
          <w:tcPr>
            <w:tcW w:w="1559" w:type="dxa"/>
          </w:tcPr>
          <w:p w14:paraId="196D37FE" w14:textId="77777777" w:rsidR="00524120" w:rsidRPr="003C1910" w:rsidRDefault="00524120" w:rsidP="00A214D4">
            <w:pPr>
              <w:spacing w:after="0"/>
              <w:jc w:val="left"/>
              <w:rPr>
                <w:i/>
                <w:lang w:val="en-GB"/>
              </w:rPr>
            </w:pPr>
          </w:p>
        </w:tc>
      </w:tr>
    </w:tbl>
    <w:p w14:paraId="27E4920B" w14:textId="77777777" w:rsidR="00524120" w:rsidRPr="003C1910" w:rsidRDefault="00524120" w:rsidP="00A214D4">
      <w:pPr>
        <w:spacing w:after="0"/>
        <w:jc w:val="left"/>
        <w:rPr>
          <w:b/>
          <w:lang w:val="en-GB"/>
        </w:rPr>
      </w:pPr>
    </w:p>
    <w:tbl>
      <w:tblPr>
        <w:tblStyle w:val="TableGrid"/>
        <w:tblW w:w="0" w:type="auto"/>
        <w:tblLook w:val="04A0" w:firstRow="1" w:lastRow="0" w:firstColumn="1" w:lastColumn="0" w:noHBand="0" w:noVBand="1"/>
      </w:tblPr>
      <w:tblGrid>
        <w:gridCol w:w="2405"/>
        <w:gridCol w:w="1559"/>
      </w:tblGrid>
      <w:tr w:rsidR="00524120" w:rsidRPr="003C1910" w14:paraId="13DF8732" w14:textId="77777777" w:rsidTr="00697252">
        <w:tc>
          <w:tcPr>
            <w:tcW w:w="3964" w:type="dxa"/>
            <w:gridSpan w:val="2"/>
            <w:shd w:val="clear" w:color="auto" w:fill="244061" w:themeFill="accent1" w:themeFillShade="80"/>
          </w:tcPr>
          <w:p w14:paraId="06C37802" w14:textId="77777777" w:rsidR="00524120" w:rsidRPr="003C1910" w:rsidRDefault="00524120" w:rsidP="00A214D4">
            <w:pPr>
              <w:spacing w:after="0"/>
              <w:jc w:val="left"/>
              <w:rPr>
                <w:b/>
                <w:lang w:val="en-GB"/>
              </w:rPr>
            </w:pPr>
            <w:r w:rsidRPr="003C1910">
              <w:rPr>
                <w:b/>
                <w:lang w:val="en-GB"/>
              </w:rPr>
              <w:t>Internal Reviewers</w:t>
            </w:r>
          </w:p>
        </w:tc>
      </w:tr>
      <w:tr w:rsidR="00524120" w:rsidRPr="003C1910" w14:paraId="5EA4B696" w14:textId="77777777" w:rsidTr="00697252">
        <w:tc>
          <w:tcPr>
            <w:tcW w:w="2405" w:type="dxa"/>
            <w:shd w:val="clear" w:color="auto" w:fill="B8CCE4" w:themeFill="accent1" w:themeFillTint="66"/>
          </w:tcPr>
          <w:p w14:paraId="015251EC" w14:textId="77777777" w:rsidR="00524120" w:rsidRPr="003C1910" w:rsidRDefault="00524120" w:rsidP="00A214D4">
            <w:pPr>
              <w:spacing w:after="0"/>
              <w:jc w:val="left"/>
              <w:rPr>
                <w:b/>
                <w:lang w:val="en-GB"/>
              </w:rPr>
            </w:pPr>
            <w:r w:rsidRPr="003C1910">
              <w:rPr>
                <w:b/>
                <w:lang w:val="en-GB"/>
              </w:rPr>
              <w:t>Name</w:t>
            </w:r>
          </w:p>
        </w:tc>
        <w:tc>
          <w:tcPr>
            <w:tcW w:w="1559" w:type="dxa"/>
            <w:shd w:val="clear" w:color="auto" w:fill="B8CCE4" w:themeFill="accent1" w:themeFillTint="66"/>
          </w:tcPr>
          <w:p w14:paraId="4E1D8C85" w14:textId="77777777" w:rsidR="00524120" w:rsidRPr="003C1910" w:rsidRDefault="00524120" w:rsidP="00A214D4">
            <w:pPr>
              <w:spacing w:after="0"/>
              <w:jc w:val="left"/>
              <w:rPr>
                <w:b/>
                <w:lang w:val="en-GB"/>
              </w:rPr>
            </w:pPr>
            <w:r w:rsidRPr="003C1910">
              <w:rPr>
                <w:b/>
                <w:lang w:val="en-GB"/>
              </w:rPr>
              <w:t>Partner</w:t>
            </w:r>
          </w:p>
        </w:tc>
      </w:tr>
      <w:tr w:rsidR="00524120" w:rsidRPr="003C1910" w14:paraId="10060B89" w14:textId="77777777" w:rsidTr="00697252">
        <w:tc>
          <w:tcPr>
            <w:tcW w:w="2405" w:type="dxa"/>
          </w:tcPr>
          <w:p w14:paraId="6FFD8FDA" w14:textId="77777777" w:rsidR="00524120" w:rsidRPr="003C1910" w:rsidRDefault="00524120" w:rsidP="00A214D4">
            <w:pPr>
              <w:spacing w:after="0"/>
              <w:jc w:val="left"/>
              <w:rPr>
                <w:lang w:val="en-GB"/>
              </w:rPr>
            </w:pPr>
          </w:p>
        </w:tc>
        <w:tc>
          <w:tcPr>
            <w:tcW w:w="1559" w:type="dxa"/>
          </w:tcPr>
          <w:p w14:paraId="6D848598" w14:textId="77777777" w:rsidR="00524120" w:rsidRPr="003C1910" w:rsidRDefault="00524120" w:rsidP="00A214D4">
            <w:pPr>
              <w:spacing w:after="0"/>
              <w:jc w:val="left"/>
              <w:rPr>
                <w:lang w:val="en-GB"/>
              </w:rPr>
            </w:pPr>
          </w:p>
        </w:tc>
      </w:tr>
      <w:tr w:rsidR="00524120" w:rsidRPr="003C1910" w14:paraId="51649CB9" w14:textId="77777777" w:rsidTr="00697252">
        <w:tc>
          <w:tcPr>
            <w:tcW w:w="2405" w:type="dxa"/>
          </w:tcPr>
          <w:p w14:paraId="52F54F39" w14:textId="77777777" w:rsidR="00524120" w:rsidRPr="003C1910" w:rsidRDefault="00524120" w:rsidP="00A214D4">
            <w:pPr>
              <w:spacing w:after="0"/>
              <w:jc w:val="left"/>
              <w:rPr>
                <w:lang w:val="en-GB"/>
              </w:rPr>
            </w:pPr>
          </w:p>
        </w:tc>
        <w:tc>
          <w:tcPr>
            <w:tcW w:w="1559" w:type="dxa"/>
          </w:tcPr>
          <w:p w14:paraId="27ED3059" w14:textId="77777777" w:rsidR="00524120" w:rsidRPr="003C1910" w:rsidRDefault="00524120" w:rsidP="00A214D4">
            <w:pPr>
              <w:spacing w:after="0"/>
              <w:jc w:val="left"/>
              <w:rPr>
                <w:lang w:val="en-GB"/>
              </w:rPr>
            </w:pPr>
          </w:p>
        </w:tc>
      </w:tr>
      <w:tr w:rsidR="00524120" w:rsidRPr="003C1910" w14:paraId="06D45323" w14:textId="77777777" w:rsidTr="00697252">
        <w:tc>
          <w:tcPr>
            <w:tcW w:w="2405" w:type="dxa"/>
          </w:tcPr>
          <w:p w14:paraId="1BDD4F9C" w14:textId="77777777" w:rsidR="00524120" w:rsidRPr="003C1910" w:rsidDel="00C238C7" w:rsidRDefault="00524120" w:rsidP="00A214D4">
            <w:pPr>
              <w:spacing w:after="0"/>
              <w:jc w:val="left"/>
              <w:rPr>
                <w:lang w:val="en-GB"/>
              </w:rPr>
            </w:pPr>
          </w:p>
        </w:tc>
        <w:tc>
          <w:tcPr>
            <w:tcW w:w="1559" w:type="dxa"/>
          </w:tcPr>
          <w:p w14:paraId="1443C474" w14:textId="77777777" w:rsidR="00524120" w:rsidRPr="003C1910" w:rsidDel="00C238C7" w:rsidRDefault="00524120" w:rsidP="00A214D4">
            <w:pPr>
              <w:spacing w:after="0"/>
              <w:jc w:val="left"/>
              <w:rPr>
                <w:lang w:val="en-GB"/>
              </w:rPr>
            </w:pPr>
          </w:p>
        </w:tc>
      </w:tr>
    </w:tbl>
    <w:p w14:paraId="3515946E" w14:textId="77777777" w:rsidR="00580827" w:rsidRPr="003C1910" w:rsidRDefault="00580827" w:rsidP="00A214D4">
      <w:pPr>
        <w:spacing w:after="0"/>
        <w:jc w:val="left"/>
        <w:rPr>
          <w:b/>
          <w:lang w:val="en-GB"/>
        </w:rPr>
      </w:pPr>
    </w:p>
    <w:tbl>
      <w:tblPr>
        <w:tblStyle w:val="TableGrid"/>
        <w:tblW w:w="0" w:type="auto"/>
        <w:tblLook w:val="04A0" w:firstRow="1" w:lastRow="0" w:firstColumn="1" w:lastColumn="0" w:noHBand="0" w:noVBand="1"/>
      </w:tblPr>
      <w:tblGrid>
        <w:gridCol w:w="5365"/>
        <w:gridCol w:w="1380"/>
        <w:gridCol w:w="2309"/>
      </w:tblGrid>
      <w:tr w:rsidR="00176DC3" w:rsidRPr="003C1910" w14:paraId="5570589F" w14:textId="77777777" w:rsidTr="00771813">
        <w:tc>
          <w:tcPr>
            <w:tcW w:w="0" w:type="auto"/>
            <w:gridSpan w:val="3"/>
            <w:shd w:val="clear" w:color="auto" w:fill="244061" w:themeFill="accent1" w:themeFillShade="80"/>
          </w:tcPr>
          <w:p w14:paraId="17EC0B0B" w14:textId="77777777" w:rsidR="00176DC3" w:rsidRPr="003C1910" w:rsidRDefault="00176DC3" w:rsidP="00A214D4">
            <w:pPr>
              <w:spacing w:after="0"/>
              <w:jc w:val="left"/>
              <w:rPr>
                <w:b/>
                <w:lang w:val="en-GB"/>
              </w:rPr>
            </w:pPr>
            <w:r w:rsidRPr="003C1910">
              <w:rPr>
                <w:b/>
                <w:lang w:val="en-GB"/>
              </w:rPr>
              <w:t xml:space="preserve">Institutional Members of the </w:t>
            </w:r>
            <w:r w:rsidR="00357D78" w:rsidRPr="003C1910">
              <w:rPr>
                <w:b/>
                <w:lang w:val="en-GB"/>
              </w:rPr>
              <w:t>STAR</w:t>
            </w:r>
            <w:r w:rsidRPr="003C1910">
              <w:rPr>
                <w:b/>
                <w:lang w:val="en-GB"/>
              </w:rPr>
              <w:t xml:space="preserve"> Consortium</w:t>
            </w:r>
          </w:p>
        </w:tc>
      </w:tr>
      <w:tr w:rsidR="00176DC3" w:rsidRPr="003C1910" w14:paraId="4586E739" w14:textId="77777777" w:rsidTr="00FB6DDD">
        <w:tc>
          <w:tcPr>
            <w:tcW w:w="5778" w:type="dxa"/>
            <w:shd w:val="clear" w:color="auto" w:fill="B8CCE4" w:themeFill="accent1" w:themeFillTint="66"/>
          </w:tcPr>
          <w:p w14:paraId="5204AB5F" w14:textId="77777777" w:rsidR="00176DC3" w:rsidRPr="003C1910" w:rsidRDefault="00176DC3" w:rsidP="00A214D4">
            <w:pPr>
              <w:spacing w:after="0"/>
              <w:jc w:val="left"/>
              <w:rPr>
                <w:b/>
                <w:lang w:val="en-GB"/>
              </w:rPr>
            </w:pPr>
            <w:r w:rsidRPr="003C1910">
              <w:rPr>
                <w:b/>
                <w:lang w:val="en-GB"/>
              </w:rPr>
              <w:t>Member</w:t>
            </w:r>
          </w:p>
        </w:tc>
        <w:tc>
          <w:tcPr>
            <w:tcW w:w="1383" w:type="dxa"/>
            <w:shd w:val="clear" w:color="auto" w:fill="B8CCE4" w:themeFill="accent1" w:themeFillTint="66"/>
          </w:tcPr>
          <w:p w14:paraId="182F2CA9" w14:textId="77777777" w:rsidR="00176DC3" w:rsidRPr="003C1910" w:rsidRDefault="00176DC3" w:rsidP="00A214D4">
            <w:pPr>
              <w:spacing w:after="0"/>
              <w:jc w:val="left"/>
              <w:rPr>
                <w:b/>
                <w:lang w:val="en-GB"/>
              </w:rPr>
            </w:pPr>
            <w:r w:rsidRPr="003C1910">
              <w:rPr>
                <w:b/>
                <w:lang w:val="en-GB"/>
              </w:rPr>
              <w:t>Role</w:t>
            </w:r>
          </w:p>
        </w:tc>
        <w:tc>
          <w:tcPr>
            <w:tcW w:w="0" w:type="auto"/>
            <w:shd w:val="clear" w:color="auto" w:fill="B8CCE4" w:themeFill="accent1" w:themeFillTint="66"/>
          </w:tcPr>
          <w:p w14:paraId="64D11E5E" w14:textId="77777777" w:rsidR="00176DC3" w:rsidRPr="003C1910" w:rsidRDefault="00176DC3" w:rsidP="00A214D4">
            <w:pPr>
              <w:spacing w:after="0"/>
              <w:jc w:val="left"/>
              <w:rPr>
                <w:b/>
                <w:lang w:val="en-GB"/>
              </w:rPr>
            </w:pPr>
            <w:r w:rsidRPr="003C1910">
              <w:rPr>
                <w:b/>
                <w:lang w:val="en-GB"/>
              </w:rPr>
              <w:t>Website</w:t>
            </w:r>
          </w:p>
        </w:tc>
      </w:tr>
      <w:tr w:rsidR="00176DC3" w:rsidRPr="003C1910" w14:paraId="0E234C1F" w14:textId="77777777" w:rsidTr="00FB6DDD">
        <w:tc>
          <w:tcPr>
            <w:tcW w:w="5778" w:type="dxa"/>
            <w:vAlign w:val="bottom"/>
          </w:tcPr>
          <w:p w14:paraId="63613ED6" w14:textId="77777777" w:rsidR="00176DC3" w:rsidRPr="003C1910" w:rsidRDefault="00176DC3" w:rsidP="00A214D4">
            <w:pPr>
              <w:spacing w:after="0"/>
              <w:jc w:val="left"/>
              <w:rPr>
                <w:lang w:val="en-GB"/>
              </w:rPr>
            </w:pPr>
            <w:r w:rsidRPr="003C1910">
              <w:rPr>
                <w:lang w:val="en-GB"/>
              </w:rPr>
              <w:t>Vrije Universiteit Brussel (VUB)</w:t>
            </w:r>
            <w:r w:rsidRPr="003C1910">
              <w:rPr>
                <w:lang w:val="en-GB"/>
              </w:rPr>
              <w:br/>
              <w:t>Research Group on Law, Science, Technology and Society (LSTS)</w:t>
            </w:r>
          </w:p>
        </w:tc>
        <w:tc>
          <w:tcPr>
            <w:tcW w:w="1383" w:type="dxa"/>
            <w:vAlign w:val="bottom"/>
          </w:tcPr>
          <w:p w14:paraId="24B47C5F" w14:textId="77777777" w:rsidR="00176DC3" w:rsidRPr="003C1910" w:rsidRDefault="00176DC3" w:rsidP="00A214D4">
            <w:pPr>
              <w:spacing w:after="0"/>
              <w:jc w:val="left"/>
              <w:rPr>
                <w:lang w:val="en-GB"/>
              </w:rPr>
            </w:pPr>
            <w:r w:rsidRPr="003C1910">
              <w:rPr>
                <w:lang w:val="en-GB"/>
              </w:rPr>
              <w:t>Project Coordinator</w:t>
            </w:r>
          </w:p>
        </w:tc>
        <w:tc>
          <w:tcPr>
            <w:tcW w:w="0" w:type="auto"/>
            <w:vAlign w:val="bottom"/>
          </w:tcPr>
          <w:p w14:paraId="3B14202E" w14:textId="77777777" w:rsidR="00176DC3" w:rsidRPr="003C1910" w:rsidRDefault="00176DC3" w:rsidP="00A214D4">
            <w:pPr>
              <w:spacing w:after="0"/>
              <w:jc w:val="left"/>
              <w:rPr>
                <w:lang w:val="en-GB"/>
              </w:rPr>
            </w:pPr>
            <w:r w:rsidRPr="003C1910">
              <w:rPr>
                <w:lang w:val="en-GB"/>
              </w:rPr>
              <w:t>vub.ac.be/LSTS</w:t>
            </w:r>
          </w:p>
        </w:tc>
      </w:tr>
      <w:tr w:rsidR="00176DC3" w:rsidRPr="003C1910" w14:paraId="57D325E8" w14:textId="77777777" w:rsidTr="00FB6DDD">
        <w:tc>
          <w:tcPr>
            <w:tcW w:w="5778" w:type="dxa"/>
            <w:vAlign w:val="bottom"/>
          </w:tcPr>
          <w:p w14:paraId="7B2BF8B5" w14:textId="77777777" w:rsidR="00176DC3" w:rsidRPr="003C1910" w:rsidRDefault="00176DC3" w:rsidP="00A214D4">
            <w:pPr>
              <w:spacing w:after="0"/>
              <w:jc w:val="left"/>
              <w:rPr>
                <w:lang w:val="en-GB"/>
              </w:rPr>
            </w:pPr>
            <w:r w:rsidRPr="003C1910">
              <w:rPr>
                <w:lang w:val="en-GB"/>
              </w:rPr>
              <w:t>Trilateral Research Ltd. (TRI)</w:t>
            </w:r>
          </w:p>
        </w:tc>
        <w:tc>
          <w:tcPr>
            <w:tcW w:w="1383" w:type="dxa"/>
            <w:vAlign w:val="bottom"/>
          </w:tcPr>
          <w:p w14:paraId="60F1217A" w14:textId="77777777" w:rsidR="00176DC3" w:rsidRPr="003C1910" w:rsidRDefault="00176DC3" w:rsidP="00A214D4">
            <w:pPr>
              <w:spacing w:after="0"/>
              <w:jc w:val="left"/>
              <w:rPr>
                <w:lang w:val="en-GB"/>
              </w:rPr>
            </w:pPr>
            <w:r w:rsidRPr="003C1910">
              <w:rPr>
                <w:lang w:val="en-GB"/>
              </w:rPr>
              <w:t>Partner</w:t>
            </w:r>
          </w:p>
        </w:tc>
        <w:tc>
          <w:tcPr>
            <w:tcW w:w="0" w:type="auto"/>
            <w:vAlign w:val="bottom"/>
          </w:tcPr>
          <w:p w14:paraId="1D9E2A8D" w14:textId="77777777" w:rsidR="00176DC3" w:rsidRPr="003C1910" w:rsidRDefault="00FB6DDD" w:rsidP="00A214D4">
            <w:pPr>
              <w:spacing w:after="0"/>
              <w:jc w:val="left"/>
              <w:rPr>
                <w:lang w:val="en-GB"/>
              </w:rPr>
            </w:pPr>
            <w:r w:rsidRPr="003C1910">
              <w:rPr>
                <w:lang w:val="en-GB"/>
              </w:rPr>
              <w:t>trilateralresearch.com</w:t>
            </w:r>
          </w:p>
        </w:tc>
      </w:tr>
      <w:tr w:rsidR="00176DC3" w:rsidRPr="003C1910" w14:paraId="7B36A3BD" w14:textId="77777777" w:rsidTr="00FB6DDD">
        <w:tc>
          <w:tcPr>
            <w:tcW w:w="5778" w:type="dxa"/>
            <w:vAlign w:val="bottom"/>
          </w:tcPr>
          <w:p w14:paraId="5A622872" w14:textId="77777777" w:rsidR="00176DC3" w:rsidRPr="003C1910" w:rsidRDefault="000A6B8C" w:rsidP="00A214D4">
            <w:pPr>
              <w:spacing w:after="0"/>
              <w:jc w:val="left"/>
              <w:rPr>
                <w:lang w:val="en-GB"/>
              </w:rPr>
            </w:pPr>
            <w:r w:rsidRPr="003C1910">
              <w:rPr>
                <w:lang w:val="en-GB"/>
              </w:rPr>
              <w:t>Nemzeti Adatvédelmi és Információszabadság Hatóság (NAIH)</w:t>
            </w:r>
          </w:p>
        </w:tc>
        <w:tc>
          <w:tcPr>
            <w:tcW w:w="1383" w:type="dxa"/>
            <w:vAlign w:val="bottom"/>
          </w:tcPr>
          <w:p w14:paraId="02B67E3A" w14:textId="77777777" w:rsidR="00176DC3" w:rsidRPr="003C1910" w:rsidRDefault="00176DC3" w:rsidP="00A214D4">
            <w:pPr>
              <w:spacing w:after="0"/>
              <w:jc w:val="left"/>
              <w:rPr>
                <w:lang w:val="en-GB"/>
              </w:rPr>
            </w:pPr>
            <w:r w:rsidRPr="003C1910">
              <w:rPr>
                <w:lang w:val="en-GB"/>
              </w:rPr>
              <w:t>Partner</w:t>
            </w:r>
          </w:p>
        </w:tc>
        <w:tc>
          <w:tcPr>
            <w:tcW w:w="0" w:type="auto"/>
            <w:vAlign w:val="bottom"/>
          </w:tcPr>
          <w:p w14:paraId="2E151E42" w14:textId="77777777" w:rsidR="00176DC3" w:rsidRPr="003C1910" w:rsidRDefault="000A6B8C" w:rsidP="00A214D4">
            <w:pPr>
              <w:spacing w:after="0"/>
              <w:jc w:val="left"/>
              <w:rPr>
                <w:lang w:val="en-GB"/>
              </w:rPr>
            </w:pPr>
            <w:r w:rsidRPr="003C1910">
              <w:rPr>
                <w:lang w:val="en-GB"/>
              </w:rPr>
              <w:t>naih.hu</w:t>
            </w:r>
          </w:p>
        </w:tc>
      </w:tr>
    </w:tbl>
    <w:p w14:paraId="7A3491BA" w14:textId="77777777" w:rsidR="00580827" w:rsidRPr="003C1910" w:rsidRDefault="00580827" w:rsidP="00A214D4">
      <w:pPr>
        <w:spacing w:after="0"/>
        <w:jc w:val="left"/>
        <w:rPr>
          <w:b/>
          <w:lang w:val="en-GB"/>
        </w:rPr>
      </w:pPr>
    </w:p>
    <w:p w14:paraId="53DA9C3C" w14:textId="77777777" w:rsidR="005874F9" w:rsidRPr="003C1910" w:rsidRDefault="005874F9" w:rsidP="00A214D4">
      <w:pPr>
        <w:rPr>
          <w:lang w:val="en-GB"/>
        </w:rPr>
      </w:pPr>
    </w:p>
    <w:p w14:paraId="04A8903A" w14:textId="77777777" w:rsidR="005874F9" w:rsidRPr="003C1910" w:rsidRDefault="005874F9" w:rsidP="00A214D4">
      <w:pPr>
        <w:jc w:val="right"/>
        <w:rPr>
          <w:lang w:val="en-GB"/>
        </w:rPr>
      </w:pPr>
    </w:p>
    <w:p w14:paraId="51B1C029" w14:textId="77777777" w:rsidR="005874F9" w:rsidRPr="003C1910" w:rsidRDefault="005874F9" w:rsidP="00A214D4">
      <w:pPr>
        <w:rPr>
          <w:lang w:val="en-GB"/>
        </w:rPr>
      </w:pPr>
    </w:p>
    <w:p w14:paraId="2B25BC7D" w14:textId="1D5083BE" w:rsidR="00E338AB" w:rsidRPr="003C1910" w:rsidRDefault="00AD2584" w:rsidP="00A214D4">
      <w:pPr>
        <w:jc w:val="right"/>
        <w:rPr>
          <w:rFonts w:asciiTheme="majorHAnsi" w:hAnsiTheme="majorHAnsi"/>
          <w:b/>
          <w:color w:val="FF0000"/>
          <w:sz w:val="16"/>
          <w:lang w:val="en-GB"/>
        </w:rPr>
      </w:pPr>
      <w:r w:rsidRPr="003C1910">
        <w:rPr>
          <w:rFonts w:asciiTheme="majorHAnsi" w:hAnsiTheme="majorHAnsi"/>
          <w:b/>
          <w:color w:val="FF0000"/>
          <w:sz w:val="16"/>
          <w:lang w:val="en-GB"/>
        </w:rPr>
        <w:t>version 0.9</w:t>
      </w:r>
      <w:r w:rsidR="00524120" w:rsidRPr="003C1910">
        <w:rPr>
          <w:rFonts w:asciiTheme="majorHAnsi" w:hAnsiTheme="majorHAnsi"/>
          <w:b/>
          <w:color w:val="FF0000"/>
          <w:sz w:val="16"/>
          <w:lang w:val="en-GB"/>
        </w:rPr>
        <w:br/>
        <w:t>[timestamp]</w:t>
      </w:r>
    </w:p>
    <w:p w14:paraId="61BCC7D9" w14:textId="77777777" w:rsidR="00E338AB" w:rsidRPr="003C1910" w:rsidRDefault="00E338AB" w:rsidP="00A214D4">
      <w:pPr>
        <w:rPr>
          <w:lang w:val="en-GB"/>
        </w:rPr>
      </w:pPr>
    </w:p>
    <w:p w14:paraId="224BB1C4" w14:textId="77777777" w:rsidR="0082381F" w:rsidRPr="003C1910" w:rsidRDefault="0082381F" w:rsidP="00A214D4">
      <w:pPr>
        <w:rPr>
          <w:b/>
          <w:bCs/>
          <w:lang w:val="en-GB"/>
        </w:rPr>
        <w:sectPr w:rsidR="0082381F" w:rsidRPr="003C1910"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3C1910" w:rsidRDefault="00FC12B3" w:rsidP="00A214D4">
          <w:pPr>
            <w:pStyle w:val="TOCHeading"/>
            <w:tabs>
              <w:tab w:val="left" w:pos="1134"/>
              <w:tab w:val="decimal" w:pos="8789"/>
            </w:tabs>
            <w:spacing w:line="240" w:lineRule="auto"/>
            <w:rPr>
              <w:rFonts w:cs="Times New Roman"/>
              <w:color w:val="auto"/>
              <w:sz w:val="20"/>
              <w:szCs w:val="20"/>
            </w:rPr>
          </w:pPr>
          <w:r w:rsidRPr="003C1910">
            <w:rPr>
              <w:color w:val="345A8A" w:themeColor="accent1" w:themeShade="B5"/>
              <w:sz w:val="32"/>
              <w:szCs w:val="32"/>
            </w:rPr>
            <w:t>Table of Contents</w:t>
          </w:r>
        </w:p>
        <w:p w14:paraId="286CCFEB" w14:textId="651F5089" w:rsidR="004F69EC" w:rsidRPr="003C1910" w:rsidRDefault="00165DE2">
          <w:pPr>
            <w:pStyle w:val="TOC1"/>
            <w:tabs>
              <w:tab w:val="right" w:leader="dot" w:pos="9054"/>
            </w:tabs>
            <w:rPr>
              <w:b w:val="0"/>
              <w:caps w:val="0"/>
              <w:noProof/>
              <w:lang w:val="en-GB" w:eastAsia="en-GB"/>
            </w:rPr>
          </w:pPr>
          <w:r w:rsidRPr="003C1910">
            <w:rPr>
              <w:rFonts w:asciiTheme="majorHAnsi" w:hAnsiTheme="majorHAnsi" w:cs="Times New Roman"/>
              <w:b w:val="0"/>
              <w:sz w:val="20"/>
              <w:szCs w:val="20"/>
              <w:lang w:val="en-GB"/>
            </w:rPr>
            <w:fldChar w:fldCharType="begin"/>
          </w:r>
          <w:r w:rsidR="00226988" w:rsidRPr="003C1910">
            <w:rPr>
              <w:rFonts w:asciiTheme="majorHAnsi" w:hAnsiTheme="majorHAnsi" w:cs="Times New Roman"/>
              <w:sz w:val="20"/>
              <w:szCs w:val="20"/>
              <w:lang w:val="en-GB"/>
            </w:rPr>
            <w:instrText xml:space="preserve"> TOC \o "1-5</w:instrText>
          </w:r>
          <w:r w:rsidR="00FC12B3" w:rsidRPr="003C1910">
            <w:rPr>
              <w:rFonts w:asciiTheme="majorHAnsi" w:hAnsiTheme="majorHAnsi" w:cs="Times New Roman"/>
              <w:sz w:val="20"/>
              <w:szCs w:val="20"/>
              <w:lang w:val="en-GB"/>
            </w:rPr>
            <w:instrText xml:space="preserve">" \h \z \u </w:instrText>
          </w:r>
          <w:r w:rsidRPr="003C1910">
            <w:rPr>
              <w:rFonts w:asciiTheme="majorHAnsi" w:hAnsiTheme="majorHAnsi" w:cs="Times New Roman"/>
              <w:b w:val="0"/>
              <w:sz w:val="20"/>
              <w:szCs w:val="20"/>
              <w:lang w:val="en-GB"/>
            </w:rPr>
            <w:fldChar w:fldCharType="separate"/>
          </w:r>
          <w:hyperlink w:anchor="_Toc513797477" w:history="1">
            <w:r w:rsidR="004F69EC" w:rsidRPr="003C1910">
              <w:rPr>
                <w:rStyle w:val="Hyperlink"/>
                <w:noProof/>
                <w:lang w:val="en-GB"/>
              </w:rPr>
              <w:t>Background to the STAR project</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_Toc513797477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4</w:t>
            </w:r>
            <w:r w:rsidR="004F69EC" w:rsidRPr="003C1910">
              <w:rPr>
                <w:noProof/>
                <w:webHidden/>
                <w:lang w:val="en-GB"/>
              </w:rPr>
              <w:fldChar w:fldCharType="end"/>
            </w:r>
          </w:hyperlink>
        </w:p>
        <w:p w14:paraId="71713034" w14:textId="4D00B319" w:rsidR="004F69EC" w:rsidRPr="003C1910" w:rsidRDefault="002D6B8C">
          <w:pPr>
            <w:pStyle w:val="TOC1"/>
            <w:tabs>
              <w:tab w:val="right" w:leader="dot" w:pos="9054"/>
            </w:tabs>
            <w:rPr>
              <w:b w:val="0"/>
              <w:caps w:val="0"/>
              <w:noProof/>
              <w:lang w:val="en-GB" w:eastAsia="en-GB"/>
            </w:rPr>
          </w:pPr>
          <w:hyperlink w:anchor="_Toc513797478" w:history="1">
            <w:r w:rsidR="004F69EC" w:rsidRPr="003C1910">
              <w:rPr>
                <w:rStyle w:val="Hyperlink"/>
                <w:noProof/>
                <w:lang w:val="en-GB"/>
              </w:rPr>
              <w:t>Executive summary</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_Toc513797478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5</w:t>
            </w:r>
            <w:r w:rsidR="004F69EC" w:rsidRPr="003C1910">
              <w:rPr>
                <w:noProof/>
                <w:webHidden/>
                <w:lang w:val="en-GB"/>
              </w:rPr>
              <w:fldChar w:fldCharType="end"/>
            </w:r>
          </w:hyperlink>
        </w:p>
        <w:p w14:paraId="1E531FD2" w14:textId="70BF3467" w:rsidR="004F69EC" w:rsidRPr="003C1910" w:rsidRDefault="002D6B8C">
          <w:pPr>
            <w:pStyle w:val="TOC1"/>
            <w:tabs>
              <w:tab w:val="right" w:leader="dot" w:pos="9054"/>
            </w:tabs>
            <w:rPr>
              <w:b w:val="0"/>
              <w:caps w:val="0"/>
              <w:noProof/>
              <w:lang w:val="en-GB" w:eastAsia="en-GB"/>
            </w:rPr>
          </w:pPr>
          <w:hyperlink w:anchor="_Toc513797479" w:history="1">
            <w:r w:rsidR="004F69EC" w:rsidRPr="003C1910">
              <w:rPr>
                <w:rStyle w:val="Hyperlink"/>
                <w:noProof/>
                <w:lang w:val="en-GB"/>
              </w:rPr>
              <w:t>List of Abbreviations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_Toc513797479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6</w:t>
            </w:r>
            <w:r w:rsidR="004F69EC" w:rsidRPr="003C1910">
              <w:rPr>
                <w:noProof/>
                <w:webHidden/>
                <w:lang w:val="en-GB"/>
              </w:rPr>
              <w:fldChar w:fldCharType="end"/>
            </w:r>
          </w:hyperlink>
        </w:p>
        <w:p w14:paraId="75F8888A" w14:textId="5FEE80E2" w:rsidR="004F69EC" w:rsidRPr="003C1910" w:rsidRDefault="002D6B8C">
          <w:pPr>
            <w:pStyle w:val="TOC1"/>
            <w:tabs>
              <w:tab w:val="left" w:pos="400"/>
              <w:tab w:val="right" w:leader="dot" w:pos="9054"/>
            </w:tabs>
            <w:rPr>
              <w:b w:val="0"/>
              <w:caps w:val="0"/>
              <w:noProof/>
              <w:lang w:val="en-GB" w:eastAsia="en-GB"/>
            </w:rPr>
          </w:pPr>
          <w:hyperlink w:anchor="_Toc513797480" w:history="1">
            <w:r w:rsidR="004F69EC" w:rsidRPr="003C1910">
              <w:rPr>
                <w:rStyle w:val="Hyperlink"/>
                <w:noProof/>
                <w:lang w:val="en-GB"/>
              </w:rPr>
              <w:t>1</w:t>
            </w:r>
            <w:r w:rsidR="004F69EC" w:rsidRPr="003C1910">
              <w:rPr>
                <w:b w:val="0"/>
                <w:caps w:val="0"/>
                <w:noProof/>
                <w:lang w:val="en-GB" w:eastAsia="en-GB"/>
              </w:rPr>
              <w:tab/>
            </w:r>
            <w:r w:rsidR="004F69EC" w:rsidRPr="003C1910">
              <w:rPr>
                <w:rStyle w:val="Hyperlink"/>
                <w:noProof/>
                <w:lang w:val="en-GB"/>
              </w:rPr>
              <w:t>Introduction</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_Toc513797480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7</w:t>
            </w:r>
            <w:r w:rsidR="004F69EC" w:rsidRPr="003C1910">
              <w:rPr>
                <w:noProof/>
                <w:webHidden/>
                <w:lang w:val="en-GB"/>
              </w:rPr>
              <w:fldChar w:fldCharType="end"/>
            </w:r>
          </w:hyperlink>
        </w:p>
        <w:p w14:paraId="5A9AFA63" w14:textId="05C45B64" w:rsidR="004F69EC" w:rsidRPr="003C1910" w:rsidRDefault="002D6B8C">
          <w:pPr>
            <w:pStyle w:val="TOC1"/>
            <w:tabs>
              <w:tab w:val="left" w:pos="400"/>
              <w:tab w:val="right" w:leader="dot" w:pos="9054"/>
            </w:tabs>
            <w:rPr>
              <w:b w:val="0"/>
              <w:caps w:val="0"/>
              <w:noProof/>
              <w:lang w:val="en-GB" w:eastAsia="en-GB"/>
            </w:rPr>
          </w:pPr>
          <w:hyperlink w:anchor="_Toc513797481" w:history="1">
            <w:r w:rsidR="004F69EC" w:rsidRPr="003C1910">
              <w:rPr>
                <w:rStyle w:val="Hyperlink"/>
                <w:noProof/>
                <w:lang w:val="en-GB"/>
              </w:rPr>
              <w:t>2</w:t>
            </w:r>
            <w:r w:rsidR="004F69EC" w:rsidRPr="003C1910">
              <w:rPr>
                <w:b w:val="0"/>
                <w:caps w:val="0"/>
                <w:noProof/>
                <w:lang w:val="en-GB" w:eastAsia="en-GB"/>
              </w:rPr>
              <w:tab/>
            </w:r>
            <w:r w:rsidR="004F69EC" w:rsidRPr="003C1910">
              <w:rPr>
                <w:rStyle w:val="Hyperlink"/>
                <w:noProof/>
                <w:lang w:val="en-GB"/>
              </w:rPr>
              <w:t>Guiding assumptions and General requirements for STAR training materials.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_Toc513797481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7</w:t>
            </w:r>
            <w:r w:rsidR="004F69EC" w:rsidRPr="003C1910">
              <w:rPr>
                <w:noProof/>
                <w:webHidden/>
                <w:lang w:val="en-GB"/>
              </w:rPr>
              <w:fldChar w:fldCharType="end"/>
            </w:r>
          </w:hyperlink>
        </w:p>
        <w:p w14:paraId="0684834E" w14:textId="2C42EBEE" w:rsidR="004F69EC" w:rsidRPr="003C1910" w:rsidRDefault="002D6B8C">
          <w:pPr>
            <w:pStyle w:val="TOC2"/>
            <w:tabs>
              <w:tab w:val="left" w:pos="800"/>
              <w:tab w:val="right" w:leader="dot" w:pos="9054"/>
            </w:tabs>
            <w:rPr>
              <w:smallCaps w:val="0"/>
              <w:noProof/>
              <w:lang w:val="en-GB" w:eastAsia="en-GB"/>
            </w:rPr>
          </w:pPr>
          <w:hyperlink w:anchor="_Toc513797482" w:history="1">
            <w:r w:rsidR="004F69EC" w:rsidRPr="003C1910">
              <w:rPr>
                <w:rStyle w:val="Hyperlink"/>
                <w:noProof/>
                <w:lang w:val="en-GB"/>
              </w:rPr>
              <w:t>2.1</w:t>
            </w:r>
            <w:r w:rsidR="004F69EC" w:rsidRPr="003C1910">
              <w:rPr>
                <w:smallCaps w:val="0"/>
                <w:noProof/>
                <w:lang w:val="en-GB" w:eastAsia="en-GB"/>
              </w:rPr>
              <w:tab/>
            </w:r>
            <w:r w:rsidR="004F69EC" w:rsidRPr="003C1910">
              <w:rPr>
                <w:rStyle w:val="Hyperlink"/>
                <w:noProof/>
                <w:lang w:val="en-GB"/>
              </w:rPr>
              <w:t>Our assumptions about the training materials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_Toc513797482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7</w:t>
            </w:r>
            <w:r w:rsidR="004F69EC" w:rsidRPr="003C1910">
              <w:rPr>
                <w:noProof/>
                <w:webHidden/>
                <w:lang w:val="en-GB"/>
              </w:rPr>
              <w:fldChar w:fldCharType="end"/>
            </w:r>
          </w:hyperlink>
        </w:p>
        <w:p w14:paraId="24AE0AEC" w14:textId="35424802" w:rsidR="004F69EC" w:rsidRPr="003C1910" w:rsidRDefault="002D6B8C">
          <w:pPr>
            <w:pStyle w:val="TOC2"/>
            <w:tabs>
              <w:tab w:val="left" w:pos="800"/>
              <w:tab w:val="right" w:leader="dot" w:pos="9054"/>
            </w:tabs>
            <w:rPr>
              <w:smallCaps w:val="0"/>
              <w:noProof/>
              <w:lang w:val="en-GB" w:eastAsia="en-GB"/>
            </w:rPr>
          </w:pPr>
          <w:hyperlink w:anchor="_Toc513797483" w:history="1">
            <w:r w:rsidR="004F69EC" w:rsidRPr="003C1910">
              <w:rPr>
                <w:rStyle w:val="Hyperlink"/>
                <w:noProof/>
                <w:lang w:val="en-GB"/>
              </w:rPr>
              <w:t>2.2</w:t>
            </w:r>
            <w:r w:rsidR="004F69EC" w:rsidRPr="003C1910">
              <w:rPr>
                <w:smallCaps w:val="0"/>
                <w:noProof/>
                <w:lang w:val="en-GB" w:eastAsia="en-GB"/>
              </w:rPr>
              <w:tab/>
            </w:r>
            <w:r w:rsidR="004F69EC" w:rsidRPr="003C1910">
              <w:rPr>
                <w:rStyle w:val="Hyperlink"/>
                <w:noProof/>
                <w:lang w:val="en-GB"/>
              </w:rPr>
              <w:t>General requirements for the training materials.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_Toc513797483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8</w:t>
            </w:r>
            <w:r w:rsidR="004F69EC" w:rsidRPr="003C1910">
              <w:rPr>
                <w:noProof/>
                <w:webHidden/>
                <w:lang w:val="en-GB"/>
              </w:rPr>
              <w:fldChar w:fldCharType="end"/>
            </w:r>
          </w:hyperlink>
        </w:p>
        <w:p w14:paraId="43E5D36E" w14:textId="23C03F3E" w:rsidR="004F69EC" w:rsidRPr="003C1910" w:rsidRDefault="002D6B8C">
          <w:pPr>
            <w:pStyle w:val="TOC1"/>
            <w:tabs>
              <w:tab w:val="left" w:pos="400"/>
              <w:tab w:val="right" w:leader="dot" w:pos="9054"/>
            </w:tabs>
            <w:rPr>
              <w:b w:val="0"/>
              <w:caps w:val="0"/>
              <w:noProof/>
              <w:lang w:val="en-GB" w:eastAsia="en-GB"/>
            </w:rPr>
          </w:pPr>
          <w:hyperlink w:anchor="_Toc513797484" w:history="1">
            <w:r w:rsidR="004F69EC" w:rsidRPr="003C1910">
              <w:rPr>
                <w:rStyle w:val="Hyperlink"/>
                <w:noProof/>
                <w:lang w:val="en-GB"/>
              </w:rPr>
              <w:t>3</w:t>
            </w:r>
            <w:r w:rsidR="004F69EC" w:rsidRPr="003C1910">
              <w:rPr>
                <w:b w:val="0"/>
                <w:caps w:val="0"/>
                <w:noProof/>
                <w:lang w:val="en-GB" w:eastAsia="en-GB"/>
              </w:rPr>
              <w:tab/>
            </w:r>
            <w:r w:rsidR="004F69EC" w:rsidRPr="003C1910">
              <w:rPr>
                <w:rStyle w:val="Hyperlink"/>
                <w:noProof/>
                <w:lang w:val="en-GB"/>
              </w:rPr>
              <w:t>Seminars topic list</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_Toc513797484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10</w:t>
            </w:r>
            <w:r w:rsidR="004F69EC" w:rsidRPr="003C1910">
              <w:rPr>
                <w:noProof/>
                <w:webHidden/>
                <w:lang w:val="en-GB"/>
              </w:rPr>
              <w:fldChar w:fldCharType="end"/>
            </w:r>
          </w:hyperlink>
        </w:p>
        <w:p w14:paraId="62ECF8AD" w14:textId="57699B3B" w:rsidR="004F69EC" w:rsidRPr="003C1910" w:rsidRDefault="002D6B8C">
          <w:pPr>
            <w:pStyle w:val="TOC2"/>
            <w:tabs>
              <w:tab w:val="left" w:pos="800"/>
              <w:tab w:val="right" w:leader="dot" w:pos="9054"/>
            </w:tabs>
            <w:rPr>
              <w:smallCaps w:val="0"/>
              <w:noProof/>
              <w:lang w:val="en-GB" w:eastAsia="en-GB"/>
            </w:rPr>
          </w:pPr>
          <w:hyperlink w:anchor="_Toc513797485" w:history="1">
            <w:r w:rsidR="004F69EC" w:rsidRPr="003C1910">
              <w:rPr>
                <w:rStyle w:val="Hyperlink"/>
                <w:noProof/>
                <w:lang w:val="en-GB"/>
              </w:rPr>
              <w:t>3.1</w:t>
            </w:r>
            <w:r w:rsidR="004F69EC" w:rsidRPr="003C1910">
              <w:rPr>
                <w:smallCaps w:val="0"/>
                <w:noProof/>
                <w:lang w:val="en-GB" w:eastAsia="en-GB"/>
              </w:rPr>
              <w:tab/>
            </w:r>
            <w:r w:rsidR="004F69EC" w:rsidRPr="003C1910">
              <w:rPr>
                <w:rStyle w:val="Hyperlink"/>
                <w:noProof/>
                <w:lang w:val="en-GB"/>
              </w:rPr>
              <w:t>Topic 1: Introduction to the European Data Protection</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_Toc513797485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10</w:t>
            </w:r>
            <w:r w:rsidR="004F69EC" w:rsidRPr="003C1910">
              <w:rPr>
                <w:noProof/>
                <w:webHidden/>
                <w:lang w:val="en-GB"/>
              </w:rPr>
              <w:fldChar w:fldCharType="end"/>
            </w:r>
          </w:hyperlink>
        </w:p>
        <w:p w14:paraId="380CFD42" w14:textId="04817904" w:rsidR="004F69EC" w:rsidRPr="003C1910" w:rsidRDefault="002D6B8C">
          <w:pPr>
            <w:pStyle w:val="TOC2"/>
            <w:tabs>
              <w:tab w:val="left" w:pos="800"/>
              <w:tab w:val="right" w:leader="dot" w:pos="9054"/>
            </w:tabs>
            <w:rPr>
              <w:smallCaps w:val="0"/>
              <w:noProof/>
              <w:lang w:val="en-GB" w:eastAsia="en-GB"/>
            </w:rPr>
          </w:pPr>
          <w:hyperlink w:anchor="_Toc513797486" w:history="1">
            <w:r w:rsidR="004F69EC" w:rsidRPr="003C1910">
              <w:rPr>
                <w:rStyle w:val="Hyperlink"/>
                <w:noProof/>
                <w:lang w:val="en-GB"/>
              </w:rPr>
              <w:t>3.2</w:t>
            </w:r>
            <w:r w:rsidR="004F69EC" w:rsidRPr="003C1910">
              <w:rPr>
                <w:smallCaps w:val="0"/>
                <w:noProof/>
                <w:lang w:val="en-GB" w:eastAsia="en-GB"/>
              </w:rPr>
              <w:tab/>
            </w:r>
            <w:r w:rsidR="004F69EC" w:rsidRPr="003C1910">
              <w:rPr>
                <w:rStyle w:val="Hyperlink"/>
                <w:noProof/>
                <w:lang w:val="en-GB"/>
              </w:rPr>
              <w:t>Topic 2: Purposes and legal grounds for processing personal data</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_Toc513797486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10</w:t>
            </w:r>
            <w:r w:rsidR="004F69EC" w:rsidRPr="003C1910">
              <w:rPr>
                <w:noProof/>
                <w:webHidden/>
                <w:lang w:val="en-GB"/>
              </w:rPr>
              <w:fldChar w:fldCharType="end"/>
            </w:r>
          </w:hyperlink>
        </w:p>
        <w:p w14:paraId="655CA2D8" w14:textId="76369F66" w:rsidR="004F69EC" w:rsidRPr="003C1910" w:rsidRDefault="002D6B8C">
          <w:pPr>
            <w:pStyle w:val="TOC2"/>
            <w:tabs>
              <w:tab w:val="left" w:pos="800"/>
              <w:tab w:val="right" w:leader="dot" w:pos="9054"/>
            </w:tabs>
            <w:rPr>
              <w:smallCaps w:val="0"/>
              <w:noProof/>
              <w:lang w:val="en-GB" w:eastAsia="en-GB"/>
            </w:rPr>
          </w:pPr>
          <w:hyperlink w:anchor="_Toc513797487" w:history="1">
            <w:r w:rsidR="004F69EC" w:rsidRPr="003C1910">
              <w:rPr>
                <w:rStyle w:val="Hyperlink"/>
                <w:noProof/>
                <w:lang w:val="en-GB"/>
              </w:rPr>
              <w:t>3.3</w:t>
            </w:r>
            <w:r w:rsidR="004F69EC" w:rsidRPr="003C1910">
              <w:rPr>
                <w:smallCaps w:val="0"/>
                <w:noProof/>
                <w:lang w:val="en-GB" w:eastAsia="en-GB"/>
              </w:rPr>
              <w:tab/>
            </w:r>
            <w:r w:rsidR="004F69EC" w:rsidRPr="003C1910">
              <w:rPr>
                <w:rStyle w:val="Hyperlink"/>
                <w:noProof/>
                <w:lang w:val="en-GB"/>
              </w:rPr>
              <w:t>Topic 3: The rights of the data subject and their exercise</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_Toc513797487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10</w:t>
            </w:r>
            <w:r w:rsidR="004F69EC" w:rsidRPr="003C1910">
              <w:rPr>
                <w:noProof/>
                <w:webHidden/>
                <w:lang w:val="en-GB"/>
              </w:rPr>
              <w:fldChar w:fldCharType="end"/>
            </w:r>
          </w:hyperlink>
        </w:p>
        <w:p w14:paraId="2DE01874" w14:textId="2EAB227C" w:rsidR="004F69EC" w:rsidRPr="003C1910" w:rsidRDefault="002D6B8C">
          <w:pPr>
            <w:pStyle w:val="TOC2"/>
            <w:tabs>
              <w:tab w:val="left" w:pos="800"/>
              <w:tab w:val="right" w:leader="dot" w:pos="9054"/>
            </w:tabs>
            <w:rPr>
              <w:smallCaps w:val="0"/>
              <w:noProof/>
              <w:lang w:val="en-GB" w:eastAsia="en-GB"/>
            </w:rPr>
          </w:pPr>
          <w:hyperlink w:anchor="_Toc513797488" w:history="1">
            <w:r w:rsidR="004F69EC" w:rsidRPr="003C1910">
              <w:rPr>
                <w:rStyle w:val="Hyperlink"/>
                <w:noProof/>
                <w:lang w:val="en-GB"/>
              </w:rPr>
              <w:t>3.4</w:t>
            </w:r>
            <w:r w:rsidR="004F69EC" w:rsidRPr="003C1910">
              <w:rPr>
                <w:smallCaps w:val="0"/>
                <w:noProof/>
                <w:lang w:val="en-GB" w:eastAsia="en-GB"/>
              </w:rPr>
              <w:tab/>
            </w:r>
            <w:r w:rsidR="004F69EC" w:rsidRPr="003C1910">
              <w:rPr>
                <w:rStyle w:val="Hyperlink"/>
                <w:noProof/>
                <w:lang w:val="en-GB"/>
              </w:rPr>
              <w:t>Topic 9: Responsibilities of the data controller and processors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_Toc513797488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0916E7C5" w14:textId="35481A38" w:rsidR="004F69EC" w:rsidRPr="003C1910" w:rsidRDefault="002D6B8C">
          <w:pPr>
            <w:pStyle w:val="TOC2"/>
            <w:tabs>
              <w:tab w:val="left" w:pos="800"/>
              <w:tab w:val="right" w:leader="dot" w:pos="9054"/>
            </w:tabs>
            <w:rPr>
              <w:smallCaps w:val="0"/>
              <w:noProof/>
              <w:lang w:val="en-GB" w:eastAsia="en-GB"/>
            </w:rPr>
          </w:pPr>
          <w:hyperlink w:anchor="_Toc513797489" w:history="1">
            <w:r w:rsidR="004F69EC" w:rsidRPr="003C1910">
              <w:rPr>
                <w:rStyle w:val="Hyperlink"/>
                <w:noProof/>
                <w:lang w:val="en-GB"/>
              </w:rPr>
              <w:t>3.5</w:t>
            </w:r>
            <w:r w:rsidR="004F69EC" w:rsidRPr="003C1910">
              <w:rPr>
                <w:smallCaps w:val="0"/>
                <w:noProof/>
                <w:lang w:val="en-GB" w:eastAsia="en-GB"/>
              </w:rPr>
              <w:tab/>
            </w:r>
            <w:r w:rsidR="004F69EC" w:rsidRPr="003C1910">
              <w:rPr>
                <w:rStyle w:val="Hyperlink"/>
                <w:noProof/>
                <w:lang w:val="en-GB"/>
              </w:rPr>
              <w:t>Topic 4: The role of the Data Protection Officer</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_Toc513797489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4EC62AEF" w14:textId="1CE7AF1D" w:rsidR="004F69EC" w:rsidRPr="003C1910" w:rsidRDefault="002D6B8C">
          <w:pPr>
            <w:pStyle w:val="TOC2"/>
            <w:tabs>
              <w:tab w:val="left" w:pos="800"/>
              <w:tab w:val="right" w:leader="dot" w:pos="9054"/>
            </w:tabs>
            <w:rPr>
              <w:smallCaps w:val="0"/>
              <w:noProof/>
              <w:lang w:val="en-GB" w:eastAsia="en-GB"/>
            </w:rPr>
          </w:pPr>
          <w:hyperlink w:anchor="_Toc513797490" w:history="1">
            <w:r w:rsidR="004F69EC" w:rsidRPr="003C1910">
              <w:rPr>
                <w:rStyle w:val="Hyperlink"/>
                <w:noProof/>
                <w:lang w:val="en-GB"/>
              </w:rPr>
              <w:t>3.6</w:t>
            </w:r>
            <w:r w:rsidR="004F69EC" w:rsidRPr="003C1910">
              <w:rPr>
                <w:smallCaps w:val="0"/>
                <w:noProof/>
                <w:lang w:val="en-GB" w:eastAsia="en-GB"/>
              </w:rPr>
              <w:tab/>
            </w:r>
            <w:r w:rsidR="004F69EC" w:rsidRPr="003C1910">
              <w:rPr>
                <w:rStyle w:val="Hyperlink"/>
                <w:noProof/>
                <w:lang w:val="en-GB"/>
              </w:rPr>
              <w:t>Topic 5: The role of the Data Protection Authority</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_Toc513797490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2369FFC6" w14:textId="723A8FE8" w:rsidR="004F69EC" w:rsidRPr="003C1910" w:rsidRDefault="002D6B8C">
          <w:pPr>
            <w:pStyle w:val="TOC2"/>
            <w:tabs>
              <w:tab w:val="left" w:pos="800"/>
              <w:tab w:val="right" w:leader="dot" w:pos="9054"/>
            </w:tabs>
            <w:rPr>
              <w:smallCaps w:val="0"/>
              <w:noProof/>
              <w:lang w:val="en-GB" w:eastAsia="en-GB"/>
            </w:rPr>
          </w:pPr>
          <w:hyperlink w:anchor="_Toc513797491" w:history="1">
            <w:r w:rsidR="004F69EC" w:rsidRPr="003C1910">
              <w:rPr>
                <w:rStyle w:val="Hyperlink"/>
                <w:noProof/>
                <w:lang w:val="en-GB"/>
              </w:rPr>
              <w:t>3.7</w:t>
            </w:r>
            <w:r w:rsidR="004F69EC" w:rsidRPr="003C1910">
              <w:rPr>
                <w:smallCaps w:val="0"/>
                <w:noProof/>
                <w:lang w:val="en-GB" w:eastAsia="en-GB"/>
              </w:rPr>
              <w:tab/>
            </w:r>
            <w:r w:rsidR="004F69EC" w:rsidRPr="003C1910">
              <w:rPr>
                <w:rStyle w:val="Hyperlink"/>
                <w:noProof/>
                <w:lang w:val="en-GB"/>
              </w:rPr>
              <w:t>Topic 5: Technical and organisational measures for data protection / Data protection in practice</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_Toc513797491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34860674" w14:textId="182F8050" w:rsidR="004F69EC" w:rsidRPr="003C1910" w:rsidRDefault="002D6B8C">
          <w:pPr>
            <w:pStyle w:val="TOC2"/>
            <w:tabs>
              <w:tab w:val="left" w:pos="800"/>
              <w:tab w:val="right" w:leader="dot" w:pos="9054"/>
            </w:tabs>
            <w:rPr>
              <w:smallCaps w:val="0"/>
              <w:noProof/>
              <w:lang w:val="en-GB" w:eastAsia="en-GB"/>
            </w:rPr>
          </w:pPr>
          <w:hyperlink w:anchor="_Toc513797492" w:history="1">
            <w:r w:rsidR="004F69EC" w:rsidRPr="003C1910">
              <w:rPr>
                <w:rStyle w:val="Hyperlink"/>
                <w:noProof/>
                <w:lang w:val="en-GB"/>
              </w:rPr>
              <w:t>3.8</w:t>
            </w:r>
            <w:r w:rsidR="004F69EC" w:rsidRPr="003C1910">
              <w:rPr>
                <w:smallCaps w:val="0"/>
                <w:noProof/>
                <w:lang w:val="en-GB" w:eastAsia="en-GB"/>
              </w:rPr>
              <w:tab/>
            </w:r>
            <w:r w:rsidR="004F69EC" w:rsidRPr="003C1910">
              <w:rPr>
                <w:rStyle w:val="Hyperlink"/>
                <w:noProof/>
                <w:lang w:val="en-GB"/>
              </w:rPr>
              <w:t>Topic 6: Risk based approach in the GDPR</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_Toc513797492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14B25A79" w14:textId="0B5AFCC4" w:rsidR="004F69EC" w:rsidRPr="003C1910" w:rsidRDefault="002D6B8C">
          <w:pPr>
            <w:pStyle w:val="TOC2"/>
            <w:tabs>
              <w:tab w:val="left" w:pos="800"/>
              <w:tab w:val="right" w:leader="dot" w:pos="9054"/>
            </w:tabs>
            <w:rPr>
              <w:smallCaps w:val="0"/>
              <w:noProof/>
              <w:lang w:val="en-GB" w:eastAsia="en-GB"/>
            </w:rPr>
          </w:pPr>
          <w:hyperlink w:anchor="_Toc513797493" w:history="1">
            <w:r w:rsidR="004F69EC" w:rsidRPr="003C1910">
              <w:rPr>
                <w:rStyle w:val="Hyperlink"/>
                <w:noProof/>
                <w:lang w:val="en-GB"/>
              </w:rPr>
              <w:t>3.9</w:t>
            </w:r>
            <w:r w:rsidR="004F69EC" w:rsidRPr="003C1910">
              <w:rPr>
                <w:smallCaps w:val="0"/>
                <w:noProof/>
                <w:lang w:val="en-GB" w:eastAsia="en-GB"/>
              </w:rPr>
              <w:tab/>
            </w:r>
            <w:r w:rsidR="004F69EC" w:rsidRPr="003C1910">
              <w:rPr>
                <w:rStyle w:val="Hyperlink"/>
                <w:noProof/>
                <w:lang w:val="en-GB"/>
              </w:rPr>
              <w:t>Topic 8: Data protection impact assessments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_Toc513797493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11</w:t>
            </w:r>
            <w:r w:rsidR="004F69EC" w:rsidRPr="003C1910">
              <w:rPr>
                <w:noProof/>
                <w:webHidden/>
                <w:lang w:val="en-GB"/>
              </w:rPr>
              <w:fldChar w:fldCharType="end"/>
            </w:r>
          </w:hyperlink>
        </w:p>
        <w:p w14:paraId="19458EA1" w14:textId="0A01397E" w:rsidR="004F69EC" w:rsidRPr="003C1910" w:rsidRDefault="002D6B8C">
          <w:pPr>
            <w:pStyle w:val="TOC2"/>
            <w:tabs>
              <w:tab w:val="left" w:pos="1000"/>
              <w:tab w:val="right" w:leader="dot" w:pos="9054"/>
            </w:tabs>
            <w:rPr>
              <w:smallCaps w:val="0"/>
              <w:noProof/>
              <w:lang w:val="en-GB" w:eastAsia="en-GB"/>
            </w:rPr>
          </w:pPr>
          <w:hyperlink w:anchor="_Toc513797494" w:history="1">
            <w:r w:rsidR="004F69EC" w:rsidRPr="003C1910">
              <w:rPr>
                <w:rStyle w:val="Hyperlink"/>
                <w:noProof/>
                <w:lang w:val="en-GB"/>
              </w:rPr>
              <w:t>3.10</w:t>
            </w:r>
            <w:r w:rsidR="004F69EC" w:rsidRPr="003C1910">
              <w:rPr>
                <w:smallCaps w:val="0"/>
                <w:noProof/>
                <w:lang w:val="en-GB" w:eastAsia="en-GB"/>
              </w:rPr>
              <w:tab/>
            </w:r>
            <w:r w:rsidR="004F69EC" w:rsidRPr="003C1910">
              <w:rPr>
                <w:rStyle w:val="Hyperlink"/>
                <w:noProof/>
                <w:lang w:val="en-GB"/>
              </w:rPr>
              <w:t>Topic 7: data protection communication: Communication and notification, information duties Data Breach notification and procedures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_Toc513797494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12</w:t>
            </w:r>
            <w:r w:rsidR="004F69EC" w:rsidRPr="003C1910">
              <w:rPr>
                <w:noProof/>
                <w:webHidden/>
                <w:lang w:val="en-GB"/>
              </w:rPr>
              <w:fldChar w:fldCharType="end"/>
            </w:r>
          </w:hyperlink>
        </w:p>
        <w:p w14:paraId="1C7D7295" w14:textId="7073B221" w:rsidR="004F69EC" w:rsidRPr="003C1910" w:rsidRDefault="002D6B8C">
          <w:pPr>
            <w:pStyle w:val="TOC2"/>
            <w:tabs>
              <w:tab w:val="left" w:pos="1000"/>
              <w:tab w:val="right" w:leader="dot" w:pos="9054"/>
            </w:tabs>
            <w:rPr>
              <w:smallCaps w:val="0"/>
              <w:noProof/>
              <w:lang w:val="en-GB" w:eastAsia="en-GB"/>
            </w:rPr>
          </w:pPr>
          <w:hyperlink w:anchor="_Toc513797495" w:history="1">
            <w:r w:rsidR="004F69EC" w:rsidRPr="003C1910">
              <w:rPr>
                <w:rStyle w:val="Hyperlink"/>
                <w:noProof/>
                <w:lang w:val="en-GB"/>
              </w:rPr>
              <w:t>3.11</w:t>
            </w:r>
            <w:r w:rsidR="004F69EC" w:rsidRPr="003C1910">
              <w:rPr>
                <w:smallCaps w:val="0"/>
                <w:noProof/>
                <w:lang w:val="en-GB" w:eastAsia="en-GB"/>
              </w:rPr>
              <w:tab/>
            </w:r>
            <w:r w:rsidR="004F69EC" w:rsidRPr="003C1910">
              <w:rPr>
                <w:rStyle w:val="Hyperlink"/>
                <w:noProof/>
                <w:lang w:val="en-GB"/>
              </w:rPr>
              <w:t>Topic 10: It</w:t>
            </w:r>
            <w:r w:rsidR="00D033D0">
              <w:rPr>
                <w:rStyle w:val="Hyperlink"/>
                <w:noProof/>
                <w:lang w:val="en-GB"/>
              </w:rPr>
              <w:t>’</w:t>
            </w:r>
            <w:r w:rsidR="004F69EC" w:rsidRPr="003C1910">
              <w:rPr>
                <w:rStyle w:val="Hyperlink"/>
                <w:noProof/>
                <w:lang w:val="en-GB"/>
              </w:rPr>
              <w:t>s not just the GDPR - GDPR related laws and special provisions /</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_Toc513797495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12</w:t>
            </w:r>
            <w:r w:rsidR="004F69EC" w:rsidRPr="003C1910">
              <w:rPr>
                <w:noProof/>
                <w:webHidden/>
                <w:lang w:val="en-GB"/>
              </w:rPr>
              <w:fldChar w:fldCharType="end"/>
            </w:r>
          </w:hyperlink>
        </w:p>
        <w:p w14:paraId="13A18B88" w14:textId="254FEF2F" w:rsidR="004F69EC" w:rsidRPr="003C1910" w:rsidRDefault="002D6B8C">
          <w:pPr>
            <w:pStyle w:val="TOC1"/>
            <w:tabs>
              <w:tab w:val="left" w:pos="400"/>
              <w:tab w:val="right" w:leader="dot" w:pos="9054"/>
            </w:tabs>
            <w:rPr>
              <w:b w:val="0"/>
              <w:caps w:val="0"/>
              <w:noProof/>
              <w:lang w:val="en-GB" w:eastAsia="en-GB"/>
            </w:rPr>
          </w:pPr>
          <w:hyperlink w:anchor="_Toc513797496" w:history="1">
            <w:r w:rsidR="004F69EC" w:rsidRPr="003C1910">
              <w:rPr>
                <w:rStyle w:val="Hyperlink"/>
                <w:noProof/>
                <w:lang w:val="en-GB"/>
              </w:rPr>
              <w:t>4</w:t>
            </w:r>
            <w:r w:rsidR="004F69EC" w:rsidRPr="003C1910">
              <w:rPr>
                <w:b w:val="0"/>
                <w:caps w:val="0"/>
                <w:noProof/>
                <w:lang w:val="en-GB" w:eastAsia="en-GB"/>
              </w:rPr>
              <w:tab/>
            </w:r>
            <w:r w:rsidR="004F69EC" w:rsidRPr="003C1910">
              <w:rPr>
                <w:rStyle w:val="Hyperlink"/>
                <w:noProof/>
                <w:lang w:val="en-GB"/>
              </w:rPr>
              <w:t>Training material specifications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_Toc513797496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13</w:t>
            </w:r>
            <w:r w:rsidR="004F69EC" w:rsidRPr="003C1910">
              <w:rPr>
                <w:noProof/>
                <w:webHidden/>
                <w:lang w:val="en-GB"/>
              </w:rPr>
              <w:fldChar w:fldCharType="end"/>
            </w:r>
          </w:hyperlink>
        </w:p>
        <w:p w14:paraId="3772AC3C" w14:textId="662B0A92" w:rsidR="004F69EC" w:rsidRPr="003C1910" w:rsidRDefault="002D6B8C">
          <w:pPr>
            <w:pStyle w:val="TOC2"/>
            <w:tabs>
              <w:tab w:val="left" w:pos="800"/>
              <w:tab w:val="right" w:leader="dot" w:pos="9054"/>
            </w:tabs>
            <w:rPr>
              <w:smallCaps w:val="0"/>
              <w:noProof/>
              <w:lang w:val="en-GB" w:eastAsia="en-GB"/>
            </w:rPr>
          </w:pPr>
          <w:hyperlink w:anchor="_Toc513797497" w:history="1">
            <w:r w:rsidR="004F69EC" w:rsidRPr="003C1910">
              <w:rPr>
                <w:rStyle w:val="Hyperlink"/>
                <w:noProof/>
                <w:lang w:val="en-GB"/>
              </w:rPr>
              <w:t>4.1</w:t>
            </w:r>
            <w:r w:rsidR="004F69EC" w:rsidRPr="003C1910">
              <w:rPr>
                <w:smallCaps w:val="0"/>
                <w:noProof/>
                <w:lang w:val="en-GB" w:eastAsia="en-GB"/>
              </w:rPr>
              <w:tab/>
            </w:r>
            <w:r w:rsidR="004F69EC" w:rsidRPr="003C1910">
              <w:rPr>
                <w:rStyle w:val="Hyperlink"/>
                <w:noProof/>
                <w:lang w:val="en-GB"/>
              </w:rPr>
              <w:t>Seminar material specification and requirements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_Toc513797497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13</w:t>
            </w:r>
            <w:r w:rsidR="004F69EC" w:rsidRPr="003C1910">
              <w:rPr>
                <w:noProof/>
                <w:webHidden/>
                <w:lang w:val="en-GB"/>
              </w:rPr>
              <w:fldChar w:fldCharType="end"/>
            </w:r>
          </w:hyperlink>
        </w:p>
        <w:p w14:paraId="45464CBE" w14:textId="5F38D283" w:rsidR="004F69EC" w:rsidRPr="003C1910" w:rsidRDefault="002D6B8C">
          <w:pPr>
            <w:pStyle w:val="TOC2"/>
            <w:tabs>
              <w:tab w:val="left" w:pos="800"/>
              <w:tab w:val="right" w:leader="dot" w:pos="9054"/>
            </w:tabs>
            <w:rPr>
              <w:smallCaps w:val="0"/>
              <w:noProof/>
              <w:lang w:val="en-GB" w:eastAsia="en-GB"/>
            </w:rPr>
          </w:pPr>
          <w:hyperlink w:anchor="_Toc513797498" w:history="1">
            <w:r w:rsidR="004F69EC" w:rsidRPr="003C1910">
              <w:rPr>
                <w:rStyle w:val="Hyperlink"/>
                <w:noProof/>
                <w:lang w:val="en-GB"/>
              </w:rPr>
              <w:t>4.2</w:t>
            </w:r>
            <w:r w:rsidR="004F69EC" w:rsidRPr="003C1910">
              <w:rPr>
                <w:smallCaps w:val="0"/>
                <w:noProof/>
                <w:lang w:val="en-GB" w:eastAsia="en-GB"/>
              </w:rPr>
              <w:tab/>
            </w:r>
            <w:r w:rsidR="004F69EC" w:rsidRPr="003C1910">
              <w:rPr>
                <w:rStyle w:val="Hyperlink"/>
                <w:noProof/>
                <w:lang w:val="en-GB"/>
              </w:rPr>
              <w:t>Webinar specification and requirements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_Toc513797498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14</w:t>
            </w:r>
            <w:r w:rsidR="004F69EC" w:rsidRPr="003C1910">
              <w:rPr>
                <w:noProof/>
                <w:webHidden/>
                <w:lang w:val="en-GB"/>
              </w:rPr>
              <w:fldChar w:fldCharType="end"/>
            </w:r>
          </w:hyperlink>
        </w:p>
        <w:p w14:paraId="34FAF1C9" w14:textId="0AEC1DF8" w:rsidR="004F69EC" w:rsidRPr="003C1910" w:rsidRDefault="002D6B8C">
          <w:pPr>
            <w:pStyle w:val="TOC2"/>
            <w:tabs>
              <w:tab w:val="left" w:pos="800"/>
              <w:tab w:val="right" w:leader="dot" w:pos="9054"/>
            </w:tabs>
            <w:rPr>
              <w:smallCaps w:val="0"/>
              <w:noProof/>
              <w:lang w:val="en-GB" w:eastAsia="en-GB"/>
            </w:rPr>
          </w:pPr>
          <w:hyperlink w:anchor="_Toc513797499" w:history="1">
            <w:r w:rsidR="004F69EC" w:rsidRPr="003C1910">
              <w:rPr>
                <w:rStyle w:val="Hyperlink"/>
                <w:noProof/>
                <w:lang w:val="en-GB"/>
              </w:rPr>
              <w:t>4.3</w:t>
            </w:r>
            <w:r w:rsidR="004F69EC" w:rsidRPr="003C1910">
              <w:rPr>
                <w:smallCaps w:val="0"/>
                <w:noProof/>
                <w:lang w:val="en-GB" w:eastAsia="en-GB"/>
              </w:rPr>
              <w:tab/>
            </w:r>
            <w:r w:rsidR="004F69EC" w:rsidRPr="003C1910">
              <w:rPr>
                <w:rStyle w:val="Hyperlink"/>
                <w:noProof/>
                <w:lang w:val="en-GB"/>
              </w:rPr>
              <w:t>Training Handbook specification and requirements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_Toc513797499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15</w:t>
            </w:r>
            <w:r w:rsidR="004F69EC" w:rsidRPr="003C1910">
              <w:rPr>
                <w:noProof/>
                <w:webHidden/>
                <w:lang w:val="en-GB"/>
              </w:rPr>
              <w:fldChar w:fldCharType="end"/>
            </w:r>
          </w:hyperlink>
        </w:p>
        <w:p w14:paraId="1A1A80EA" w14:textId="1DEE8518" w:rsidR="004F69EC" w:rsidRPr="003C1910" w:rsidRDefault="002D6B8C">
          <w:pPr>
            <w:pStyle w:val="TOC2"/>
            <w:tabs>
              <w:tab w:val="left" w:pos="800"/>
              <w:tab w:val="right" w:leader="dot" w:pos="9054"/>
            </w:tabs>
            <w:rPr>
              <w:smallCaps w:val="0"/>
              <w:noProof/>
              <w:lang w:val="en-GB" w:eastAsia="en-GB"/>
            </w:rPr>
          </w:pPr>
          <w:hyperlink w:anchor="_Toc513797500" w:history="1">
            <w:r w:rsidR="004F69EC" w:rsidRPr="003C1910">
              <w:rPr>
                <w:rStyle w:val="Hyperlink"/>
                <w:noProof/>
                <w:lang w:val="en-GB"/>
              </w:rPr>
              <w:t>4.4</w:t>
            </w:r>
            <w:r w:rsidR="004F69EC" w:rsidRPr="003C1910">
              <w:rPr>
                <w:smallCaps w:val="0"/>
                <w:noProof/>
                <w:lang w:val="en-GB" w:eastAsia="en-GB"/>
              </w:rPr>
              <w:tab/>
            </w:r>
            <w:r w:rsidR="004F69EC" w:rsidRPr="003C1910">
              <w:rPr>
                <w:rStyle w:val="Hyperlink"/>
                <w:noProof/>
                <w:lang w:val="en-GB"/>
              </w:rPr>
              <w:t>GDPR Compliance checklist for data controllers specification and requirements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_Toc513797500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16</w:t>
            </w:r>
            <w:r w:rsidR="004F69EC" w:rsidRPr="003C1910">
              <w:rPr>
                <w:noProof/>
                <w:webHidden/>
                <w:lang w:val="en-GB"/>
              </w:rPr>
              <w:fldChar w:fldCharType="end"/>
            </w:r>
          </w:hyperlink>
        </w:p>
        <w:p w14:paraId="05D06322" w14:textId="0A20CFB9" w:rsidR="004F69EC" w:rsidRPr="003C1910" w:rsidRDefault="002D6B8C">
          <w:pPr>
            <w:pStyle w:val="TOC2"/>
            <w:tabs>
              <w:tab w:val="left" w:pos="800"/>
              <w:tab w:val="right" w:leader="dot" w:pos="9054"/>
            </w:tabs>
            <w:rPr>
              <w:smallCaps w:val="0"/>
              <w:noProof/>
              <w:lang w:val="en-GB" w:eastAsia="en-GB"/>
            </w:rPr>
          </w:pPr>
          <w:hyperlink w:anchor="_Toc513797501" w:history="1">
            <w:r w:rsidR="004F69EC" w:rsidRPr="003C1910">
              <w:rPr>
                <w:rStyle w:val="Hyperlink"/>
                <w:noProof/>
                <w:lang w:val="en-GB"/>
              </w:rPr>
              <w:t>4.5</w:t>
            </w:r>
            <w:r w:rsidR="004F69EC" w:rsidRPr="003C1910">
              <w:rPr>
                <w:smallCaps w:val="0"/>
                <w:noProof/>
                <w:lang w:val="en-GB" w:eastAsia="en-GB"/>
              </w:rPr>
              <w:tab/>
            </w:r>
            <w:r w:rsidR="004F69EC" w:rsidRPr="003C1910">
              <w:rPr>
                <w:rStyle w:val="Hyperlink"/>
                <w:noProof/>
                <w:lang w:val="en-GB"/>
              </w:rPr>
              <w:t>Introductory list specification and requirements</w:t>
            </w:r>
            <w:r w:rsidR="004F69EC" w:rsidRPr="003C1910">
              <w:rPr>
                <w:noProof/>
                <w:webHidden/>
                <w:lang w:val="en-GB"/>
              </w:rPr>
              <w:tab/>
            </w:r>
            <w:r w:rsidR="004F69EC" w:rsidRPr="003C1910">
              <w:rPr>
                <w:noProof/>
                <w:webHidden/>
                <w:lang w:val="en-GB"/>
              </w:rPr>
              <w:fldChar w:fldCharType="begin"/>
            </w:r>
            <w:r w:rsidR="004F69EC" w:rsidRPr="003C1910">
              <w:rPr>
                <w:noProof/>
                <w:webHidden/>
                <w:lang w:val="en-GB"/>
              </w:rPr>
              <w:instrText xml:space="preserve"> PAGEREF _Toc513797501 \h </w:instrText>
            </w:r>
            <w:r w:rsidR="004F69EC" w:rsidRPr="003C1910">
              <w:rPr>
                <w:noProof/>
                <w:webHidden/>
                <w:lang w:val="en-GB"/>
              </w:rPr>
            </w:r>
            <w:r w:rsidR="004F69EC" w:rsidRPr="003C1910">
              <w:rPr>
                <w:noProof/>
                <w:webHidden/>
                <w:lang w:val="en-GB"/>
              </w:rPr>
              <w:fldChar w:fldCharType="separate"/>
            </w:r>
            <w:r w:rsidR="004F69EC" w:rsidRPr="003C1910">
              <w:rPr>
                <w:noProof/>
                <w:webHidden/>
                <w:lang w:val="en-GB"/>
              </w:rPr>
              <w:t>17</w:t>
            </w:r>
            <w:r w:rsidR="004F69EC" w:rsidRPr="003C1910">
              <w:rPr>
                <w:noProof/>
                <w:webHidden/>
                <w:lang w:val="en-GB"/>
              </w:rPr>
              <w:fldChar w:fldCharType="end"/>
            </w:r>
          </w:hyperlink>
        </w:p>
        <w:p w14:paraId="7212DBF6" w14:textId="33F711A6" w:rsidR="00FC12B3" w:rsidRPr="003C1910" w:rsidRDefault="00165DE2" w:rsidP="00A214D4">
          <w:pPr>
            <w:tabs>
              <w:tab w:val="left" w:pos="1134"/>
              <w:tab w:val="decimal" w:pos="8789"/>
            </w:tabs>
            <w:rPr>
              <w:szCs w:val="20"/>
              <w:lang w:val="en-GB"/>
            </w:rPr>
          </w:pPr>
          <w:r w:rsidRPr="003C1910">
            <w:rPr>
              <w:rFonts w:asciiTheme="majorHAnsi" w:hAnsiTheme="majorHAnsi" w:cs="Times New Roman"/>
              <w:b/>
              <w:bCs/>
              <w:noProof/>
              <w:szCs w:val="20"/>
              <w:lang w:val="en-GB"/>
            </w:rPr>
            <w:fldChar w:fldCharType="end"/>
          </w:r>
        </w:p>
      </w:sdtContent>
    </w:sdt>
    <w:p w14:paraId="588D685F" w14:textId="77777777" w:rsidR="000E401B" w:rsidRPr="003C1910" w:rsidRDefault="000E401B" w:rsidP="00A214D4">
      <w:pPr>
        <w:pStyle w:val="Heading1"/>
        <w:numPr>
          <w:ilvl w:val="0"/>
          <w:numId w:val="0"/>
        </w:numPr>
        <w:ind w:left="432"/>
        <w:rPr>
          <w:rFonts w:asciiTheme="minorHAnsi" w:eastAsiaTheme="minorEastAsia" w:hAnsiTheme="minorHAnsi" w:cstheme="minorBidi"/>
          <w:b w:val="0"/>
          <w:bCs w:val="0"/>
          <w:color w:val="auto"/>
          <w:sz w:val="22"/>
          <w:szCs w:val="24"/>
        </w:rPr>
        <w:sectPr w:rsidR="000E401B" w:rsidRPr="003C1910" w:rsidSect="00245A5D">
          <w:headerReference w:type="default" r:id="rId24"/>
          <w:pgSz w:w="11900" w:h="16840"/>
          <w:pgMar w:top="1134" w:right="1418" w:bottom="1134" w:left="1418" w:header="709" w:footer="709" w:gutter="0"/>
          <w:cols w:space="708"/>
          <w:titlePg/>
          <w:docGrid w:linePitch="360"/>
        </w:sectPr>
      </w:pPr>
    </w:p>
    <w:p w14:paraId="519FD728" w14:textId="77777777" w:rsidR="00A214D4" w:rsidRPr="003C1910" w:rsidRDefault="00A214D4" w:rsidP="00A214D4">
      <w:pPr>
        <w:pStyle w:val="Heading1"/>
        <w:numPr>
          <w:ilvl w:val="0"/>
          <w:numId w:val="0"/>
        </w:numPr>
      </w:pPr>
      <w:bookmarkStart w:id="0" w:name="_Toc499821070"/>
      <w:bookmarkStart w:id="1" w:name="_Toc513797477"/>
      <w:bookmarkStart w:id="2" w:name="_Toc322531610"/>
      <w:bookmarkStart w:id="3" w:name="_Ref321907952"/>
      <w:r w:rsidRPr="003C1910">
        <w:lastRenderedPageBreak/>
        <w:t>Background to the STAR project</w:t>
      </w:r>
      <w:bookmarkEnd w:id="0"/>
      <w:bookmarkEnd w:id="1"/>
    </w:p>
    <w:p w14:paraId="7881C2C3" w14:textId="77777777" w:rsidR="00297CCD" w:rsidRPr="003C1910" w:rsidRDefault="00297CCD" w:rsidP="00297CCD">
      <w:pPr>
        <w:rPr>
          <w:lang w:val="en-GB"/>
        </w:rPr>
      </w:pPr>
      <w:r w:rsidRPr="003C1910">
        <w:rPr>
          <w:lang w:val="en-GB"/>
        </w:rPr>
        <w:t>The STAR project (</w:t>
      </w:r>
      <w:r w:rsidRPr="003C1910">
        <w:rPr>
          <w:i/>
          <w:lang w:val="en-GB"/>
        </w:rPr>
        <w:t>Support Training Activities on the data protection Reform</w:t>
      </w:r>
      <w:r w:rsidRPr="003C1910">
        <w:rPr>
          <w:lang w:val="en-GB"/>
        </w:rPr>
        <w:t xml:space="preserve">) is providing support to the training activities of European Union (EU) Data Protection Authorities (DPAs) and data protection officers (DPOs) on the EU data protection reform, especially the General Data Protection Regulation (GDPR). </w:t>
      </w:r>
    </w:p>
    <w:p w14:paraId="2519BAB0" w14:textId="77777777" w:rsidR="00297CCD" w:rsidRPr="003C1910" w:rsidRDefault="00297CCD" w:rsidP="00297CCD">
      <w:pPr>
        <w:rPr>
          <w:lang w:val="en-GB"/>
        </w:rPr>
      </w:pPr>
      <w:r w:rsidRPr="003C1910">
        <w:rPr>
          <w:lang w:val="en-GB"/>
        </w:rPr>
        <w:t xml:space="preserve">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w:t>
      </w:r>
    </w:p>
    <w:p w14:paraId="671BB18D" w14:textId="77777777" w:rsidR="00297CCD" w:rsidRPr="003C1910" w:rsidRDefault="00297CCD" w:rsidP="00297CCD">
      <w:pPr>
        <w:pStyle w:val="ListParagraph"/>
        <w:numPr>
          <w:ilvl w:val="0"/>
          <w:numId w:val="2"/>
        </w:numPr>
        <w:rPr>
          <w:lang w:val="en-GB"/>
        </w:rPr>
      </w:pPr>
      <w:r w:rsidRPr="003C1910">
        <w:rPr>
          <w:lang w:val="en-GB"/>
        </w:rPr>
        <w:t xml:space="preserve">formulate the training topics in close cooperation with stakeholders, </w:t>
      </w:r>
    </w:p>
    <w:p w14:paraId="2C77503B" w14:textId="77777777" w:rsidR="00297CCD" w:rsidRPr="003C1910" w:rsidRDefault="00297CCD" w:rsidP="00297CCD">
      <w:pPr>
        <w:pStyle w:val="ListParagraph"/>
        <w:numPr>
          <w:ilvl w:val="0"/>
          <w:numId w:val="2"/>
        </w:numPr>
        <w:rPr>
          <w:lang w:val="en-GB"/>
        </w:rPr>
      </w:pPr>
      <w:r w:rsidRPr="003C1910">
        <w:rPr>
          <w:lang w:val="en-GB"/>
        </w:rPr>
        <w:t xml:space="preserve">author the actual training materials, </w:t>
      </w:r>
    </w:p>
    <w:p w14:paraId="784DB162" w14:textId="77777777" w:rsidR="00297CCD" w:rsidRPr="003C1910" w:rsidRDefault="00297CCD" w:rsidP="00297CCD">
      <w:pPr>
        <w:pStyle w:val="ListParagraph"/>
        <w:numPr>
          <w:ilvl w:val="0"/>
          <w:numId w:val="2"/>
        </w:numPr>
        <w:rPr>
          <w:lang w:val="en-GB"/>
        </w:rPr>
      </w:pPr>
      <w:r w:rsidRPr="003C1910">
        <w:rPr>
          <w:lang w:val="en-GB"/>
        </w:rPr>
        <w:t xml:space="preserve">validate and test them in pilot trainings. </w:t>
      </w:r>
    </w:p>
    <w:p w14:paraId="579B0784" w14:textId="77777777" w:rsidR="00297CCD" w:rsidRPr="003C1910" w:rsidRDefault="00297CCD" w:rsidP="00297CCD">
      <w:pPr>
        <w:rPr>
          <w:lang w:val="en-GB"/>
        </w:rPr>
      </w:pPr>
      <w:r w:rsidRPr="003C1910">
        <w:rPr>
          <w:lang w:val="en-GB"/>
        </w:rPr>
        <w:t>This output will be freely and publicly available in a digital form. STAR is directly addressed to EU DPAs and DPOs; it also offers a benefit to other privacy professionals in the EU and beyond.</w:t>
      </w:r>
    </w:p>
    <w:p w14:paraId="717C4A29" w14:textId="77777777" w:rsidR="00297CCD" w:rsidRPr="003C1910" w:rsidRDefault="00297CCD" w:rsidP="00297CCD">
      <w:pPr>
        <w:rPr>
          <w:lang w:val="en-GB"/>
        </w:rPr>
      </w:pPr>
      <w:r w:rsidRPr="003C1910">
        <w:rPr>
          <w:lang w:val="en-GB"/>
        </w:rPr>
        <w:t xml:space="preserve">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w:t>
      </w:r>
    </w:p>
    <w:p w14:paraId="483606B9" w14:textId="77777777" w:rsidR="00297CCD" w:rsidRPr="003C1910" w:rsidRDefault="00297CCD" w:rsidP="00297CCD">
      <w:pPr>
        <w:pStyle w:val="ListParagraph"/>
        <w:numPr>
          <w:ilvl w:val="0"/>
          <w:numId w:val="3"/>
        </w:numPr>
        <w:rPr>
          <w:lang w:val="en-GB"/>
        </w:rPr>
      </w:pPr>
      <w:r w:rsidRPr="003C1910">
        <w:rPr>
          <w:lang w:val="en-GB"/>
        </w:rPr>
        <w:t xml:space="preserve">Training scenarios for each training category, </w:t>
      </w:r>
    </w:p>
    <w:p w14:paraId="5BACBC8D" w14:textId="1DF99339" w:rsidR="00297CCD" w:rsidRPr="003C1910" w:rsidRDefault="00297CCD" w:rsidP="00297CCD">
      <w:pPr>
        <w:pStyle w:val="ListParagraph"/>
        <w:numPr>
          <w:ilvl w:val="0"/>
          <w:numId w:val="3"/>
        </w:numPr>
        <w:rPr>
          <w:lang w:val="en-GB"/>
        </w:rPr>
      </w:pPr>
      <w:r w:rsidRPr="003C1910">
        <w:rPr>
          <w:lang w:val="en-GB"/>
        </w:rPr>
        <w:t>A Seminars</w:t>
      </w:r>
      <w:r w:rsidR="00D033D0">
        <w:rPr>
          <w:lang w:val="en-GB"/>
        </w:rPr>
        <w:t>’</w:t>
      </w:r>
      <w:r w:rsidRPr="003C1910">
        <w:rPr>
          <w:lang w:val="en-GB"/>
        </w:rPr>
        <w:t xml:space="preserve"> Topics List, based on the training scenarios, </w:t>
      </w:r>
    </w:p>
    <w:p w14:paraId="0CCA42CB" w14:textId="77777777" w:rsidR="00297CCD" w:rsidRPr="003C1910" w:rsidRDefault="00297CCD" w:rsidP="00297CCD">
      <w:pPr>
        <w:pStyle w:val="ListParagraph"/>
        <w:numPr>
          <w:ilvl w:val="0"/>
          <w:numId w:val="3"/>
        </w:numPr>
        <w:rPr>
          <w:lang w:val="en-GB"/>
        </w:rPr>
      </w:pPr>
      <w:r w:rsidRPr="003C1910">
        <w:rPr>
          <w:lang w:val="en-GB"/>
        </w:rPr>
        <w:t xml:space="preserve">Seminar Material for each one of the seminars, </w:t>
      </w:r>
    </w:p>
    <w:p w14:paraId="467129DB" w14:textId="11D69E1A" w:rsidR="00297CCD" w:rsidRPr="003C1910" w:rsidRDefault="00297CCD" w:rsidP="00297CCD">
      <w:pPr>
        <w:pStyle w:val="ListParagraph"/>
        <w:numPr>
          <w:ilvl w:val="0"/>
          <w:numId w:val="3"/>
        </w:numPr>
        <w:rPr>
          <w:lang w:val="en-GB"/>
        </w:rPr>
      </w:pPr>
      <w:r w:rsidRPr="003C1910">
        <w:rPr>
          <w:lang w:val="en-GB"/>
        </w:rPr>
        <w:t>Webinars (selected from the Seminars</w:t>
      </w:r>
      <w:r w:rsidR="00D033D0">
        <w:rPr>
          <w:lang w:val="en-GB"/>
        </w:rPr>
        <w:t>’</w:t>
      </w:r>
      <w:r w:rsidRPr="003C1910">
        <w:rPr>
          <w:lang w:val="en-GB"/>
        </w:rPr>
        <w:t xml:space="preserve"> Topics List), </w:t>
      </w:r>
    </w:p>
    <w:p w14:paraId="7E5F94AA" w14:textId="77777777" w:rsidR="00297CCD" w:rsidRPr="003C1910" w:rsidRDefault="00297CCD" w:rsidP="00297CCD">
      <w:pPr>
        <w:pStyle w:val="ListParagraph"/>
        <w:numPr>
          <w:ilvl w:val="0"/>
          <w:numId w:val="3"/>
        </w:numPr>
        <w:rPr>
          <w:lang w:val="en-GB"/>
        </w:rPr>
      </w:pPr>
      <w:r w:rsidRPr="003C1910">
        <w:rPr>
          <w:lang w:val="en-GB"/>
        </w:rPr>
        <w:t xml:space="preserve">A training Handbook, </w:t>
      </w:r>
    </w:p>
    <w:p w14:paraId="33D7435B" w14:textId="77777777" w:rsidR="00297CCD" w:rsidRPr="003C1910" w:rsidRDefault="00297CCD" w:rsidP="00297CCD">
      <w:pPr>
        <w:pStyle w:val="ListParagraph"/>
        <w:numPr>
          <w:ilvl w:val="0"/>
          <w:numId w:val="3"/>
        </w:numPr>
        <w:rPr>
          <w:lang w:val="en-GB"/>
        </w:rPr>
      </w:pPr>
      <w:r w:rsidRPr="003C1910">
        <w:rPr>
          <w:lang w:val="en-GB"/>
        </w:rPr>
        <w:t xml:space="preserve">A takeaway reference GDPR checklist, </w:t>
      </w:r>
    </w:p>
    <w:p w14:paraId="643FCECD" w14:textId="77777777" w:rsidR="00297CCD" w:rsidRPr="003C1910" w:rsidRDefault="00297CCD" w:rsidP="00297CCD">
      <w:pPr>
        <w:pStyle w:val="ListParagraph"/>
        <w:numPr>
          <w:ilvl w:val="0"/>
          <w:numId w:val="3"/>
        </w:numPr>
        <w:rPr>
          <w:lang w:val="en-GB"/>
        </w:rPr>
      </w:pPr>
      <w:r w:rsidRPr="003C1910">
        <w:rPr>
          <w:lang w:val="en-GB"/>
        </w:rPr>
        <w:t>A ten-point GDPR introductory list.</w:t>
      </w:r>
    </w:p>
    <w:p w14:paraId="560CF18A" w14:textId="60A9FD91" w:rsidR="00A214D4" w:rsidRPr="003C1910" w:rsidRDefault="00A214D4" w:rsidP="00A214D4">
      <w:pPr>
        <w:spacing w:after="0"/>
        <w:jc w:val="left"/>
        <w:rPr>
          <w:lang w:val="en-GB"/>
        </w:rPr>
      </w:pPr>
      <w:r w:rsidRPr="003C1910">
        <w:rPr>
          <w:lang w:val="en-GB"/>
        </w:rPr>
        <w:br w:type="page"/>
      </w:r>
    </w:p>
    <w:p w14:paraId="5F1FB33F" w14:textId="77777777" w:rsidR="00524120" w:rsidRPr="003C1910" w:rsidRDefault="00524120" w:rsidP="00A214D4">
      <w:pPr>
        <w:pStyle w:val="Heading1"/>
        <w:numPr>
          <w:ilvl w:val="0"/>
          <w:numId w:val="0"/>
        </w:numPr>
      </w:pPr>
      <w:bookmarkStart w:id="4" w:name="_Toc513797478"/>
      <w:r w:rsidRPr="003C1910">
        <w:lastRenderedPageBreak/>
        <w:t>Executive summary</w:t>
      </w:r>
      <w:bookmarkEnd w:id="2"/>
      <w:bookmarkEnd w:id="4"/>
    </w:p>
    <w:p w14:paraId="67870460" w14:textId="74D0CCC9" w:rsidR="00524120" w:rsidRPr="003C1910" w:rsidRDefault="00524120" w:rsidP="00A214D4">
      <w:pPr>
        <w:rPr>
          <w:lang w:val="en-GB"/>
        </w:rPr>
      </w:pPr>
      <w:r w:rsidRPr="003C1910">
        <w:rPr>
          <w:highlight w:val="yellow"/>
          <w:lang w:val="en-GB"/>
        </w:rPr>
        <w:t>[…]</w:t>
      </w:r>
    </w:p>
    <w:p w14:paraId="23607CBF" w14:textId="3756BCBB" w:rsidR="00524120" w:rsidRPr="003C1910" w:rsidRDefault="00524120" w:rsidP="00A214D4">
      <w:pPr>
        <w:spacing w:after="0"/>
        <w:jc w:val="left"/>
        <w:rPr>
          <w:lang w:val="en-GB"/>
        </w:rPr>
      </w:pPr>
      <w:r w:rsidRPr="003C1910">
        <w:rPr>
          <w:lang w:val="en-GB"/>
        </w:rPr>
        <w:br w:type="page"/>
      </w:r>
    </w:p>
    <w:p w14:paraId="0760E7EF" w14:textId="50F1553D" w:rsidR="00524120" w:rsidRPr="003C1910" w:rsidRDefault="00524120" w:rsidP="00A214D4">
      <w:pPr>
        <w:pStyle w:val="Heading1"/>
        <w:numPr>
          <w:ilvl w:val="0"/>
          <w:numId w:val="0"/>
        </w:numPr>
      </w:pPr>
      <w:bookmarkStart w:id="5" w:name="_Toc513797479"/>
      <w:r w:rsidRPr="003C1910">
        <w:lastRenderedPageBreak/>
        <w:t>List of Abbreviations</w:t>
      </w:r>
      <w:bookmarkEnd w:id="5"/>
    </w:p>
    <w:p w14:paraId="3DE68E64" w14:textId="77777777" w:rsidR="00524120" w:rsidRPr="003C1910" w:rsidRDefault="00524120" w:rsidP="00A214D4">
      <w:pPr>
        <w:rPr>
          <w:lang w:val="en-GB"/>
        </w:rPr>
      </w:pPr>
    </w:p>
    <w:tbl>
      <w:tblPr>
        <w:tblStyle w:val="TableGrid"/>
        <w:tblW w:w="8078" w:type="dxa"/>
        <w:tblLayout w:type="fixed"/>
        <w:tblLook w:val="04A0" w:firstRow="1" w:lastRow="0" w:firstColumn="1" w:lastColumn="0" w:noHBand="0" w:noVBand="1"/>
      </w:tblPr>
      <w:tblGrid>
        <w:gridCol w:w="2150"/>
        <w:gridCol w:w="5928"/>
      </w:tblGrid>
      <w:tr w:rsidR="001B161E" w:rsidRPr="003C1910" w14:paraId="278A6205" w14:textId="77777777" w:rsidTr="001B161E">
        <w:tc>
          <w:tcPr>
            <w:tcW w:w="2150" w:type="dxa"/>
          </w:tcPr>
          <w:p w14:paraId="6979A07E" w14:textId="326BAAF8" w:rsidR="00524120" w:rsidRPr="003C1910" w:rsidRDefault="001B161E" w:rsidP="00A214D4">
            <w:pPr>
              <w:spacing w:after="0"/>
              <w:jc w:val="left"/>
              <w:rPr>
                <w:lang w:val="en-GB"/>
              </w:rPr>
            </w:pPr>
            <w:r w:rsidRPr="003C1910">
              <w:rPr>
                <w:lang w:val="en-GB"/>
              </w:rPr>
              <w:t>STAR</w:t>
            </w:r>
          </w:p>
        </w:tc>
        <w:tc>
          <w:tcPr>
            <w:tcW w:w="5928" w:type="dxa"/>
          </w:tcPr>
          <w:p w14:paraId="7A0EDEE8" w14:textId="45ADCBAF" w:rsidR="00524120" w:rsidRPr="003C1910" w:rsidRDefault="001B161E" w:rsidP="00A214D4">
            <w:pPr>
              <w:spacing w:after="0"/>
              <w:jc w:val="left"/>
              <w:rPr>
                <w:lang w:val="en-GB"/>
              </w:rPr>
            </w:pPr>
            <w:r w:rsidRPr="003C1910">
              <w:rPr>
                <w:lang w:val="en-GB"/>
              </w:rPr>
              <w:t>Support Training Activities on the data protection Reform</w:t>
            </w:r>
          </w:p>
        </w:tc>
      </w:tr>
      <w:tr w:rsidR="001B161E" w:rsidRPr="003C1910" w14:paraId="3B239CE5" w14:textId="77777777" w:rsidTr="001B161E">
        <w:tc>
          <w:tcPr>
            <w:tcW w:w="2150" w:type="dxa"/>
          </w:tcPr>
          <w:p w14:paraId="02DF177D" w14:textId="7B58F68F" w:rsidR="00524120" w:rsidRPr="003C1910" w:rsidRDefault="0087469A" w:rsidP="00A214D4">
            <w:pPr>
              <w:spacing w:after="0"/>
              <w:jc w:val="left"/>
              <w:rPr>
                <w:lang w:val="en-GB"/>
              </w:rPr>
            </w:pPr>
            <w:r w:rsidRPr="003C1910">
              <w:rPr>
                <w:lang w:val="en-GB"/>
              </w:rPr>
              <w:t>DPA</w:t>
            </w:r>
          </w:p>
        </w:tc>
        <w:tc>
          <w:tcPr>
            <w:tcW w:w="5928" w:type="dxa"/>
          </w:tcPr>
          <w:p w14:paraId="4394B654" w14:textId="1EF7CA48" w:rsidR="00524120" w:rsidRPr="003C1910" w:rsidRDefault="0087469A" w:rsidP="00A214D4">
            <w:pPr>
              <w:spacing w:after="0"/>
              <w:jc w:val="left"/>
              <w:rPr>
                <w:lang w:val="en-GB"/>
              </w:rPr>
            </w:pPr>
            <w:r w:rsidRPr="003C1910">
              <w:rPr>
                <w:lang w:val="en-GB"/>
              </w:rPr>
              <w:t>Data Protection Authority</w:t>
            </w:r>
          </w:p>
        </w:tc>
      </w:tr>
      <w:tr w:rsidR="001B161E" w:rsidRPr="003C1910" w:rsidDel="00C238C7" w14:paraId="1C5CDF26" w14:textId="77777777" w:rsidTr="001B161E">
        <w:tc>
          <w:tcPr>
            <w:tcW w:w="2150" w:type="dxa"/>
          </w:tcPr>
          <w:p w14:paraId="6046C8A4" w14:textId="1D0EF07F" w:rsidR="00524120" w:rsidRPr="003C1910" w:rsidDel="00C238C7" w:rsidRDefault="00F973E3" w:rsidP="00A214D4">
            <w:pPr>
              <w:spacing w:after="0"/>
              <w:jc w:val="left"/>
              <w:rPr>
                <w:lang w:val="en-GB"/>
              </w:rPr>
            </w:pPr>
            <w:r w:rsidRPr="003C1910">
              <w:rPr>
                <w:lang w:val="en-GB"/>
              </w:rPr>
              <w:t>DPO</w:t>
            </w:r>
          </w:p>
        </w:tc>
        <w:tc>
          <w:tcPr>
            <w:tcW w:w="5928" w:type="dxa"/>
          </w:tcPr>
          <w:p w14:paraId="168C3869" w14:textId="612D0516" w:rsidR="00524120" w:rsidRPr="003C1910" w:rsidDel="00C238C7" w:rsidRDefault="00F973E3" w:rsidP="00A214D4">
            <w:pPr>
              <w:spacing w:after="0"/>
              <w:jc w:val="left"/>
              <w:rPr>
                <w:lang w:val="en-GB"/>
              </w:rPr>
            </w:pPr>
            <w:r w:rsidRPr="003C1910">
              <w:rPr>
                <w:lang w:val="en-GB"/>
              </w:rPr>
              <w:t>Data Protection Officer</w:t>
            </w:r>
          </w:p>
        </w:tc>
      </w:tr>
      <w:tr w:rsidR="007C201A" w:rsidRPr="003C1910" w:rsidDel="00C238C7" w14:paraId="4D2D46AC" w14:textId="77777777" w:rsidTr="001B161E">
        <w:tc>
          <w:tcPr>
            <w:tcW w:w="2150" w:type="dxa"/>
          </w:tcPr>
          <w:p w14:paraId="5E450922" w14:textId="21E63926" w:rsidR="007C201A" w:rsidRPr="003C1910" w:rsidRDefault="007C201A" w:rsidP="007C201A">
            <w:pPr>
              <w:spacing w:after="0"/>
              <w:jc w:val="left"/>
              <w:rPr>
                <w:lang w:val="en-GB"/>
              </w:rPr>
            </w:pPr>
            <w:r w:rsidRPr="00844C11">
              <w:rPr>
                <w:lang w:val="en-GB"/>
              </w:rPr>
              <w:t>GDPR</w:t>
            </w:r>
          </w:p>
        </w:tc>
        <w:tc>
          <w:tcPr>
            <w:tcW w:w="5928" w:type="dxa"/>
          </w:tcPr>
          <w:p w14:paraId="197C35EB" w14:textId="182B2B84" w:rsidR="007C201A" w:rsidRPr="003C1910" w:rsidRDefault="007C201A" w:rsidP="007C201A">
            <w:pPr>
              <w:spacing w:after="0"/>
              <w:jc w:val="left"/>
              <w:rPr>
                <w:lang w:val="en-GB"/>
              </w:rPr>
            </w:pPr>
            <w:r w:rsidRPr="00844C11">
              <w:rPr>
                <w:lang w:val="en-GB"/>
              </w:rPr>
              <w:t>General Data Protection Regulation (Regulation EU 2016/679 on the protection of natural persons with regard to the processing of personal data and on the free movement of such data)</w:t>
            </w:r>
          </w:p>
        </w:tc>
      </w:tr>
      <w:tr w:rsidR="007C201A" w:rsidRPr="003C1910" w:rsidDel="00C238C7" w14:paraId="15604638" w14:textId="77777777" w:rsidTr="001B161E">
        <w:tc>
          <w:tcPr>
            <w:tcW w:w="2150" w:type="dxa"/>
          </w:tcPr>
          <w:p w14:paraId="7B750DA4" w14:textId="2CF15385" w:rsidR="007C201A" w:rsidRPr="00844C11" w:rsidRDefault="007C201A" w:rsidP="007C201A">
            <w:pPr>
              <w:spacing w:after="0"/>
              <w:jc w:val="left"/>
              <w:rPr>
                <w:lang w:val="en-GB"/>
              </w:rPr>
            </w:pPr>
            <w:r>
              <w:rPr>
                <w:lang w:val="en-GB"/>
              </w:rPr>
              <w:t>EU</w:t>
            </w:r>
          </w:p>
        </w:tc>
        <w:tc>
          <w:tcPr>
            <w:tcW w:w="5928" w:type="dxa"/>
          </w:tcPr>
          <w:p w14:paraId="54993A59" w14:textId="16E4C838" w:rsidR="007C201A" w:rsidRPr="00844C11" w:rsidRDefault="007C201A" w:rsidP="007C201A">
            <w:pPr>
              <w:spacing w:after="0"/>
              <w:jc w:val="left"/>
              <w:rPr>
                <w:lang w:val="en-GB"/>
              </w:rPr>
            </w:pPr>
            <w:r>
              <w:rPr>
                <w:lang w:val="en-GB"/>
              </w:rPr>
              <w:t>European Union</w:t>
            </w:r>
          </w:p>
        </w:tc>
      </w:tr>
    </w:tbl>
    <w:p w14:paraId="555FE6DE" w14:textId="77777777" w:rsidR="00524120" w:rsidRPr="003C1910" w:rsidRDefault="00524120" w:rsidP="00A214D4">
      <w:pPr>
        <w:rPr>
          <w:lang w:val="en-GB"/>
        </w:rPr>
      </w:pPr>
    </w:p>
    <w:p w14:paraId="5B28A717" w14:textId="419F1265" w:rsidR="00524120" w:rsidRPr="003C1910" w:rsidRDefault="00524120" w:rsidP="00A214D4">
      <w:pPr>
        <w:spacing w:after="0"/>
        <w:jc w:val="left"/>
        <w:rPr>
          <w:lang w:val="en-GB"/>
        </w:rPr>
      </w:pPr>
      <w:r w:rsidRPr="003C1910">
        <w:rPr>
          <w:lang w:val="en-GB"/>
        </w:rPr>
        <w:br w:type="page"/>
      </w:r>
    </w:p>
    <w:p w14:paraId="0E917BE5" w14:textId="77777777" w:rsidR="00524120" w:rsidRPr="003C1910" w:rsidRDefault="00524120" w:rsidP="00A214D4">
      <w:pPr>
        <w:rPr>
          <w:lang w:val="en-GB"/>
        </w:rPr>
      </w:pPr>
    </w:p>
    <w:p w14:paraId="2C69A771" w14:textId="37151433" w:rsidR="001A4956" w:rsidRPr="003C1910" w:rsidRDefault="00AF6694" w:rsidP="00A214D4">
      <w:pPr>
        <w:pStyle w:val="Heading1"/>
      </w:pPr>
      <w:bookmarkStart w:id="6" w:name="_Toc513797480"/>
      <w:bookmarkStart w:id="7" w:name="_Toc322531612"/>
      <w:bookmarkEnd w:id="3"/>
      <w:r w:rsidRPr="003C1910">
        <w:t>Introduction</w:t>
      </w:r>
      <w:bookmarkEnd w:id="6"/>
    </w:p>
    <w:p w14:paraId="3EB4AA17" w14:textId="2901D648" w:rsidR="00AF6694" w:rsidRPr="003C1910" w:rsidRDefault="00AF6694" w:rsidP="00AF6694">
      <w:pPr>
        <w:rPr>
          <w:lang w:val="en-GB"/>
        </w:rPr>
      </w:pPr>
      <w:r w:rsidRPr="003C1910">
        <w:rPr>
          <w:lang w:val="en-GB"/>
        </w:rPr>
        <w:t xml:space="preserve">This deliverable presents the finalised detailed list of the training materials to be developed by the STAR project, as well as detailed requirements for those materials. In the next phase of the STAR project, the consortium will develop training and subsequently validate training materials for use by Data Protection Authorities and </w:t>
      </w:r>
      <w:r w:rsidR="00D66852" w:rsidRPr="003C1910">
        <w:rPr>
          <w:lang w:val="en-GB"/>
        </w:rPr>
        <w:t>D</w:t>
      </w:r>
      <w:r w:rsidRPr="003C1910">
        <w:rPr>
          <w:lang w:val="en-GB"/>
        </w:rPr>
        <w:t xml:space="preserve">ata </w:t>
      </w:r>
      <w:r w:rsidR="00D66852" w:rsidRPr="003C1910">
        <w:rPr>
          <w:lang w:val="en-GB"/>
        </w:rPr>
        <w:t>P</w:t>
      </w:r>
      <w:r w:rsidRPr="003C1910">
        <w:rPr>
          <w:lang w:val="en-GB"/>
        </w:rPr>
        <w:t xml:space="preserve">rotection </w:t>
      </w:r>
      <w:r w:rsidR="00D66852" w:rsidRPr="003C1910">
        <w:rPr>
          <w:lang w:val="en-GB"/>
        </w:rPr>
        <w:t>O</w:t>
      </w:r>
      <w:r w:rsidRPr="003C1910">
        <w:rPr>
          <w:lang w:val="en-GB"/>
        </w:rPr>
        <w:t>fficers (DPO)</w:t>
      </w:r>
      <w:r w:rsidR="00D66852" w:rsidRPr="003C1910">
        <w:rPr>
          <w:lang w:val="en-GB"/>
        </w:rPr>
        <w:t>. This deliverable is therefore the reference guide for developing this training material, and the developed training materials should (at least in their first iteration prior to testing with end-users) reflect these requirements. A provisional list of training materials was provided as part of the STAR project</w:t>
      </w:r>
      <w:r w:rsidR="00D033D0">
        <w:rPr>
          <w:lang w:val="en-GB"/>
        </w:rPr>
        <w:t>’</w:t>
      </w:r>
      <w:r w:rsidR="00D66852" w:rsidRPr="003C1910">
        <w:rPr>
          <w:lang w:val="en-GB"/>
        </w:rPr>
        <w:t xml:space="preserve">s proposal, and this deliverable sets out the results of the validation/challenging of </w:t>
      </w:r>
      <w:r w:rsidR="00AD2370" w:rsidRPr="003C1910">
        <w:rPr>
          <w:lang w:val="en-GB"/>
        </w:rPr>
        <w:t>this list</w:t>
      </w:r>
      <w:r w:rsidR="00D66852" w:rsidRPr="003C1910">
        <w:rPr>
          <w:lang w:val="en-GB"/>
        </w:rPr>
        <w:t xml:space="preserve"> based upon the findings from STARs stakeholder analysis activities (including interviews with DPAs, DPOs and other expert practitioners, and a critical review of existing training material as recorded in D2.2). The aim has been to align the initially proposed list with the needs of stakeholders and ensure that the STAR training materials are useful and usable for their intended audiences. </w:t>
      </w:r>
    </w:p>
    <w:p w14:paraId="2CD8625F" w14:textId="4F2521EB" w:rsidR="00AF6694" w:rsidRPr="003C1910" w:rsidRDefault="00AF6694" w:rsidP="00AF6694">
      <w:pPr>
        <w:rPr>
          <w:lang w:val="en-GB"/>
        </w:rPr>
      </w:pPr>
      <w:r w:rsidRPr="003C1910">
        <w:rPr>
          <w:lang w:val="en-GB"/>
        </w:rPr>
        <w:t>The first section of the report sets out the guiding assumptions for the training materials and rationale for these, as well as the general requirements that apply across all of the training materials</w:t>
      </w:r>
      <w:r w:rsidR="00D66852" w:rsidRPr="003C1910">
        <w:rPr>
          <w:lang w:val="en-GB"/>
        </w:rPr>
        <w:t>, regardless of format</w:t>
      </w:r>
      <w:r w:rsidRPr="003C1910">
        <w:rPr>
          <w:lang w:val="en-GB"/>
        </w:rPr>
        <w:t xml:space="preserve">. </w:t>
      </w:r>
    </w:p>
    <w:p w14:paraId="57F781A7" w14:textId="621DEBE8" w:rsidR="00AF6694" w:rsidRPr="003C1910" w:rsidRDefault="00AF6694" w:rsidP="00AF6694">
      <w:pPr>
        <w:rPr>
          <w:lang w:val="en-GB"/>
        </w:rPr>
      </w:pPr>
      <w:r w:rsidRPr="003C1910">
        <w:rPr>
          <w:lang w:val="en-GB"/>
        </w:rPr>
        <w:t>The second section sets out the seminar topics lists</w:t>
      </w:r>
      <w:r w:rsidR="00D66852" w:rsidRPr="003C1910">
        <w:rPr>
          <w:lang w:val="en-GB"/>
        </w:rPr>
        <w:t xml:space="preserve"> upon which training materials will be developed</w:t>
      </w:r>
      <w:r w:rsidRPr="003C1910">
        <w:rPr>
          <w:lang w:val="en-GB"/>
        </w:rPr>
        <w:t xml:space="preserve">, </w:t>
      </w:r>
      <w:r w:rsidR="00D66852" w:rsidRPr="003C1910">
        <w:rPr>
          <w:lang w:val="en-GB"/>
        </w:rPr>
        <w:t xml:space="preserve">provides the </w:t>
      </w:r>
      <w:r w:rsidRPr="003C1910">
        <w:rPr>
          <w:lang w:val="en-GB"/>
        </w:rPr>
        <w:t xml:space="preserve">rationale for their selection, </w:t>
      </w:r>
      <w:r w:rsidR="00D66852" w:rsidRPr="003C1910">
        <w:rPr>
          <w:lang w:val="en-GB"/>
        </w:rPr>
        <w:t xml:space="preserve">and identifies </w:t>
      </w:r>
      <w:r w:rsidRPr="003C1910">
        <w:rPr>
          <w:lang w:val="en-GB"/>
        </w:rPr>
        <w:t xml:space="preserve">key issues to cover and pertinent issues. </w:t>
      </w:r>
    </w:p>
    <w:p w14:paraId="60727200" w14:textId="291666D1" w:rsidR="00AF6694" w:rsidRPr="003C1910" w:rsidRDefault="00AF6694" w:rsidP="00AF6694">
      <w:pPr>
        <w:rPr>
          <w:lang w:val="en-GB"/>
        </w:rPr>
      </w:pPr>
      <w:r w:rsidRPr="003C1910">
        <w:rPr>
          <w:lang w:val="en-GB"/>
        </w:rPr>
        <w:t xml:space="preserve">The third section sets out the requirements for the various specific types of training materials. </w:t>
      </w:r>
    </w:p>
    <w:p w14:paraId="2BCE2818" w14:textId="37E28B2B" w:rsidR="00AF6694" w:rsidRPr="00A850F8" w:rsidRDefault="00D66852" w:rsidP="00AF6694">
      <w:pPr>
        <w:pStyle w:val="Heading1"/>
      </w:pPr>
      <w:bookmarkStart w:id="8" w:name="_Toc513797481"/>
      <w:bookmarkEnd w:id="7"/>
      <w:r w:rsidRPr="003C1910">
        <w:t>Guiding assumptions and General requirements for STAR training materials.</w:t>
      </w:r>
      <w:bookmarkEnd w:id="8"/>
      <w:r w:rsidRPr="003C1910">
        <w:t xml:space="preserve"> </w:t>
      </w:r>
      <w:bookmarkStart w:id="9" w:name="_Toc322531613"/>
    </w:p>
    <w:p w14:paraId="1EE4E761" w14:textId="77777777" w:rsidR="00AF6694" w:rsidRPr="003C1910" w:rsidRDefault="00AF6694" w:rsidP="00D66852">
      <w:pPr>
        <w:pStyle w:val="Heading2"/>
        <w:rPr>
          <w:lang w:val="en-GB"/>
        </w:rPr>
      </w:pPr>
      <w:bookmarkStart w:id="10" w:name="_Toc513797482"/>
      <w:r w:rsidRPr="003C1910">
        <w:rPr>
          <w:lang w:val="en-GB"/>
        </w:rPr>
        <w:t>Our assumptions about the training materials</w:t>
      </w:r>
      <w:bookmarkEnd w:id="10"/>
    </w:p>
    <w:p w14:paraId="4E8D32BA" w14:textId="3E204B98" w:rsidR="00AF6694" w:rsidRPr="003C1910" w:rsidRDefault="00753294" w:rsidP="00AF6694">
      <w:pPr>
        <w:rPr>
          <w:lang w:val="en-GB"/>
        </w:rPr>
      </w:pPr>
      <w:r w:rsidRPr="003C1910">
        <w:rPr>
          <w:lang w:val="en-GB"/>
        </w:rPr>
        <w:t>The following set of assumptions guide the development of the STAR training materials. They have been assessed against the stakeholder perspectives.</w:t>
      </w:r>
    </w:p>
    <w:p w14:paraId="39998E0F" w14:textId="77777777" w:rsidR="00B2255F" w:rsidRPr="003C1910" w:rsidRDefault="00B2255F" w:rsidP="00B2255F">
      <w:pPr>
        <w:pStyle w:val="NormalWeb"/>
        <w:spacing w:before="0" w:beforeAutospacing="0" w:after="0" w:afterAutospacing="0"/>
        <w:ind w:left="1440"/>
        <w:textAlignment w:val="baseline"/>
        <w:rPr>
          <w:rFonts w:asciiTheme="minorHAnsi" w:hAnsiTheme="minorHAnsi" w:cs="Arial"/>
          <w:color w:val="000000"/>
          <w:szCs w:val="22"/>
          <w:lang w:val="en-GB"/>
        </w:rPr>
      </w:pPr>
    </w:p>
    <w:p w14:paraId="76CCAEC1" w14:textId="26527340" w:rsidR="00B2255F" w:rsidRPr="003C1910" w:rsidRDefault="00B2255F" w:rsidP="00B2255F">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STAR training materials will be focused upon EU law</w:t>
      </w:r>
      <w:r w:rsidR="003C1910">
        <w:rPr>
          <w:rFonts w:asciiTheme="minorHAnsi" w:hAnsiTheme="minorHAnsi" w:cs="Arial"/>
          <w:color w:val="000000"/>
          <w:szCs w:val="22"/>
          <w:lang w:val="en-GB"/>
        </w:rPr>
        <w:t>.</w:t>
      </w:r>
    </w:p>
    <w:p w14:paraId="1028D066" w14:textId="5762D220" w:rsidR="00B2255F" w:rsidRPr="003C1910" w:rsidRDefault="00B2255F" w:rsidP="00B2255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Although training materials that included all relevant national legislation were desired by stakeholders, developing 28 version of the training materials is out of scope of the project. </w:t>
      </w:r>
    </w:p>
    <w:p w14:paraId="1E287E42" w14:textId="09FF6856" w:rsidR="00B2255F" w:rsidRPr="003C1910" w:rsidRDefault="00B2255F" w:rsidP="00B2255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It will be the task of the recipients to adapt and customise </w:t>
      </w:r>
      <w:r w:rsidR="003C1910">
        <w:rPr>
          <w:rFonts w:asciiTheme="minorHAnsi" w:hAnsiTheme="minorHAnsi" w:cs="Arial"/>
          <w:color w:val="000000"/>
          <w:szCs w:val="22"/>
          <w:lang w:val="en-GB"/>
        </w:rPr>
        <w:t xml:space="preserve">the </w:t>
      </w:r>
      <w:r w:rsidRPr="003C1910">
        <w:rPr>
          <w:rFonts w:asciiTheme="minorHAnsi" w:hAnsiTheme="minorHAnsi" w:cs="Arial"/>
          <w:color w:val="000000"/>
          <w:szCs w:val="22"/>
          <w:lang w:val="en-GB"/>
        </w:rPr>
        <w:t xml:space="preserve">STAR training materials to their particular legal systems. </w:t>
      </w:r>
    </w:p>
    <w:p w14:paraId="5D502EA3" w14:textId="77777777" w:rsidR="00B2255F" w:rsidRPr="003C1910" w:rsidRDefault="00B2255F" w:rsidP="00B2255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STAR will facilitate this </w:t>
      </w:r>
    </w:p>
    <w:p w14:paraId="376BE80D" w14:textId="00959472" w:rsidR="00B2255F" w:rsidRPr="003C1910" w:rsidRDefault="00B2255F" w:rsidP="00B2255F">
      <w:pPr>
        <w:pStyle w:val="NormalWeb"/>
        <w:numPr>
          <w:ilvl w:val="2"/>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by including spaces in the training materials for trainers to include national considerations, and prompt them to include such considerations (for example, in seminar training slides, there could be blank sections</w:t>
      </w:r>
      <w:r w:rsidR="007C201A">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and time in the session devoted to delivering them), or to check if such issues apply to their context.</w:t>
      </w:r>
    </w:p>
    <w:p w14:paraId="1B8603A5" w14:textId="1A62CB67" w:rsidR="00B2255F" w:rsidRPr="003C1910" w:rsidRDefault="00B2255F" w:rsidP="00B2255F">
      <w:pPr>
        <w:pStyle w:val="NormalWeb"/>
        <w:numPr>
          <w:ilvl w:val="2"/>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By using a spread of national and contextual case studies and examples throughout the training material.  </w:t>
      </w:r>
    </w:p>
    <w:p w14:paraId="5B21F659" w14:textId="77777777" w:rsidR="00B2255F" w:rsidRPr="003C1910" w:rsidRDefault="00B2255F" w:rsidP="00B2255F">
      <w:pPr>
        <w:pStyle w:val="NormalWeb"/>
        <w:spacing w:before="0" w:beforeAutospacing="0" w:after="0" w:afterAutospacing="0"/>
        <w:ind w:left="2160"/>
        <w:textAlignment w:val="baseline"/>
        <w:rPr>
          <w:rFonts w:asciiTheme="minorHAnsi" w:hAnsiTheme="minorHAnsi" w:cs="Arial"/>
          <w:color w:val="000000"/>
          <w:szCs w:val="22"/>
          <w:lang w:val="en-GB"/>
        </w:rPr>
      </w:pPr>
    </w:p>
    <w:p w14:paraId="2ADDEFD3" w14:textId="056C943D" w:rsidR="00AF6694" w:rsidRPr="003C1910" w:rsidRDefault="00AF6694" w:rsidP="00AF6694">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Training materials developed under </w:t>
      </w:r>
      <w:r w:rsidR="007C201A">
        <w:rPr>
          <w:rFonts w:asciiTheme="minorHAnsi" w:hAnsiTheme="minorHAnsi" w:cs="Arial"/>
          <w:color w:val="000000"/>
          <w:szCs w:val="22"/>
          <w:lang w:val="en-GB"/>
        </w:rPr>
        <w:t>STAR</w:t>
      </w:r>
      <w:r w:rsidR="007C201A"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will be aimed exclusively at the GDPR.</w:t>
      </w:r>
    </w:p>
    <w:p w14:paraId="7892EA58" w14:textId="77777777" w:rsidR="005D076F" w:rsidRPr="003C1910" w:rsidRDefault="005D076F" w:rsidP="00AF6694">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There was feedback from interviewees that they wanted training material on data protection more broadly, and all relevant legislation that might apply, this is </w:t>
      </w:r>
      <w:r w:rsidRPr="003C1910">
        <w:rPr>
          <w:rFonts w:asciiTheme="minorHAnsi" w:hAnsiTheme="minorHAnsi" w:cs="Arial"/>
          <w:color w:val="000000"/>
          <w:szCs w:val="22"/>
          <w:lang w:val="en-GB"/>
        </w:rPr>
        <w:lastRenderedPageBreak/>
        <w:t xml:space="preserve">however out of scope for the STAR project. The project is however aware that there are other legislative instruments that sit adjacent to the GDPR. </w:t>
      </w:r>
    </w:p>
    <w:p w14:paraId="0DD1E58C" w14:textId="317F8BD4" w:rsidR="005D076F" w:rsidRPr="003C1910" w:rsidRDefault="005D076F" w:rsidP="005D076F">
      <w:pPr>
        <w:pStyle w:val="NormalWeb"/>
        <w:numPr>
          <w:ilvl w:val="2"/>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legislative process for the </w:t>
      </w:r>
      <w:proofErr w:type="spellStart"/>
      <w:r w:rsidRPr="003C1910">
        <w:rPr>
          <w:rFonts w:asciiTheme="minorHAnsi" w:hAnsiTheme="minorHAnsi" w:cs="Arial"/>
          <w:color w:val="000000"/>
          <w:szCs w:val="22"/>
          <w:lang w:val="en-GB"/>
        </w:rPr>
        <w:t>ePrivacy</w:t>
      </w:r>
      <w:proofErr w:type="spellEnd"/>
      <w:r w:rsidRPr="003C1910">
        <w:rPr>
          <w:rFonts w:asciiTheme="minorHAnsi" w:hAnsiTheme="minorHAnsi" w:cs="Arial"/>
          <w:color w:val="000000"/>
          <w:szCs w:val="22"/>
          <w:lang w:val="en-GB"/>
        </w:rPr>
        <w:t xml:space="preserve"> Regulation, which would be a logical addition to GDPR in this context is ongoing and the final form of this is unknown. </w:t>
      </w:r>
    </w:p>
    <w:p w14:paraId="5D60ABC0" w14:textId="2FC14CB4" w:rsidR="005D076F" w:rsidRPr="003C1910" w:rsidRDefault="005D076F" w:rsidP="00AF6694">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project will consider GDPR in relation to the wider European framework and reserves the decision to introduce this into the training material based upon legislative progress and relevant to the topic of training material. </w:t>
      </w:r>
    </w:p>
    <w:p w14:paraId="1F46341E" w14:textId="501795D6" w:rsidR="00AF6694" w:rsidRPr="003C1910" w:rsidRDefault="005D076F" w:rsidP="00AF6694">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training material w</w:t>
      </w:r>
      <w:r w:rsidR="00AF6694" w:rsidRPr="003C1910">
        <w:rPr>
          <w:rFonts w:asciiTheme="minorHAnsi" w:hAnsiTheme="minorHAnsi" w:cs="Arial"/>
          <w:color w:val="000000"/>
          <w:szCs w:val="22"/>
          <w:lang w:val="en-GB"/>
        </w:rPr>
        <w:t xml:space="preserve">ill include reminders that other </w:t>
      </w:r>
      <w:r w:rsidRPr="003C1910">
        <w:rPr>
          <w:rFonts w:asciiTheme="minorHAnsi" w:hAnsiTheme="minorHAnsi" w:cs="Arial"/>
          <w:color w:val="000000"/>
          <w:szCs w:val="22"/>
          <w:lang w:val="en-GB"/>
        </w:rPr>
        <w:t xml:space="preserve">EU, </w:t>
      </w:r>
      <w:r w:rsidR="00AF6694" w:rsidRPr="003C1910">
        <w:rPr>
          <w:rFonts w:asciiTheme="minorHAnsi" w:hAnsiTheme="minorHAnsi" w:cs="Arial"/>
          <w:color w:val="000000"/>
          <w:szCs w:val="22"/>
          <w:lang w:val="en-GB"/>
        </w:rPr>
        <w:t>national or sectoral legislation might apply.</w:t>
      </w:r>
      <w:r w:rsidRPr="003C1910">
        <w:rPr>
          <w:rFonts w:asciiTheme="minorHAnsi" w:hAnsiTheme="minorHAnsi" w:cs="Arial"/>
          <w:color w:val="000000"/>
          <w:szCs w:val="22"/>
          <w:lang w:val="en-GB"/>
        </w:rPr>
        <w:t xml:space="preserve"> For example, it might indicate the ongoing ePrivacy reform. </w:t>
      </w:r>
    </w:p>
    <w:p w14:paraId="634A1ACB" w14:textId="43764A70" w:rsidR="00AF6694" w:rsidRPr="003C1910" w:rsidRDefault="005D076F" w:rsidP="00AF6694">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project w</w:t>
      </w:r>
      <w:r w:rsidR="00AF6694" w:rsidRPr="003C1910">
        <w:rPr>
          <w:rFonts w:asciiTheme="minorHAnsi" w:hAnsiTheme="minorHAnsi" w:cs="Arial"/>
          <w:color w:val="000000"/>
          <w:szCs w:val="22"/>
          <w:lang w:val="en-GB"/>
        </w:rPr>
        <w:t xml:space="preserve">ill make sure that keys sectors </w:t>
      </w:r>
      <w:r w:rsidRPr="003C1910">
        <w:rPr>
          <w:rFonts w:asciiTheme="minorHAnsi" w:hAnsiTheme="minorHAnsi" w:cs="Arial"/>
          <w:color w:val="000000"/>
          <w:szCs w:val="22"/>
          <w:lang w:val="en-GB"/>
        </w:rPr>
        <w:t>are</w:t>
      </w:r>
      <w:r w:rsidR="00AF6694" w:rsidRPr="003C1910">
        <w:rPr>
          <w:rFonts w:asciiTheme="minorHAnsi" w:hAnsiTheme="minorHAnsi" w:cs="Arial"/>
          <w:color w:val="000000"/>
          <w:szCs w:val="22"/>
          <w:lang w:val="en-GB"/>
        </w:rPr>
        <w:t xml:space="preserve"> represented across the case studies</w:t>
      </w:r>
      <w:r w:rsidRPr="003C1910">
        <w:rPr>
          <w:rFonts w:asciiTheme="minorHAnsi" w:hAnsiTheme="minorHAnsi" w:cs="Arial"/>
          <w:color w:val="000000"/>
          <w:szCs w:val="22"/>
          <w:lang w:val="en-GB"/>
        </w:rPr>
        <w:t xml:space="preserve"> used in the training material.</w:t>
      </w:r>
    </w:p>
    <w:p w14:paraId="0326E6D4" w14:textId="77777777" w:rsidR="00B2255F" w:rsidRPr="003C1910" w:rsidRDefault="00B2255F" w:rsidP="006E6E50">
      <w:pPr>
        <w:pStyle w:val="NormalWeb"/>
        <w:spacing w:before="0" w:beforeAutospacing="0" w:after="0" w:afterAutospacing="0"/>
        <w:ind w:left="1440"/>
        <w:textAlignment w:val="baseline"/>
        <w:rPr>
          <w:rFonts w:asciiTheme="minorHAnsi" w:hAnsiTheme="minorHAnsi" w:cs="Arial"/>
          <w:color w:val="000000"/>
          <w:szCs w:val="22"/>
          <w:lang w:val="en-GB"/>
        </w:rPr>
      </w:pPr>
    </w:p>
    <w:p w14:paraId="795F65CB" w14:textId="1E7F0369" w:rsidR="00AF6694" w:rsidRPr="003C1910" w:rsidRDefault="00AF6694" w:rsidP="00AF6694">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Training materials will be developed in English</w:t>
      </w:r>
      <w:r w:rsidR="005D076F" w:rsidRPr="003C1910">
        <w:rPr>
          <w:rFonts w:asciiTheme="minorHAnsi" w:hAnsiTheme="minorHAnsi" w:cs="Arial"/>
          <w:color w:val="000000"/>
          <w:szCs w:val="22"/>
          <w:lang w:val="en-GB"/>
        </w:rPr>
        <w:t>.</w:t>
      </w:r>
    </w:p>
    <w:p w14:paraId="09B2A32C" w14:textId="005F79FE"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End-users will be encouraged to translate this material into their national language(s) as they need it. There is a demand from stakeholders in the Member States for this, particular in relation to areas where </w:t>
      </w:r>
      <w:r w:rsidR="006E6E50" w:rsidRPr="003C1910">
        <w:rPr>
          <w:rFonts w:asciiTheme="minorHAnsi" w:hAnsiTheme="minorHAnsi" w:cs="Arial"/>
          <w:color w:val="000000"/>
          <w:szCs w:val="22"/>
          <w:lang w:val="en-GB"/>
        </w:rPr>
        <w:t xml:space="preserve">trainees need to understand compliance. </w:t>
      </w:r>
    </w:p>
    <w:p w14:paraId="69D7B440" w14:textId="7346AD10" w:rsidR="006E6E50" w:rsidRPr="003C1910" w:rsidRDefault="006E6E50"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End-users will be invited to provide the STAR project with translated versions of the STAR materials, which STAR will then be happy to make available on its website. </w:t>
      </w:r>
    </w:p>
    <w:p w14:paraId="61868964" w14:textId="77777777" w:rsidR="00B2255F" w:rsidRPr="003C1910" w:rsidRDefault="00B2255F" w:rsidP="00B2255F">
      <w:pPr>
        <w:pStyle w:val="NormalWeb"/>
        <w:spacing w:before="0" w:beforeAutospacing="0" w:after="0" w:afterAutospacing="0"/>
        <w:ind w:left="720"/>
        <w:textAlignment w:val="baseline"/>
        <w:rPr>
          <w:rFonts w:asciiTheme="minorHAnsi" w:hAnsiTheme="minorHAnsi" w:cs="Arial"/>
          <w:color w:val="000000"/>
          <w:szCs w:val="22"/>
          <w:lang w:val="en-GB"/>
        </w:rPr>
      </w:pPr>
    </w:p>
    <w:p w14:paraId="68D12A42" w14:textId="77777777" w:rsidR="006E6E50" w:rsidRPr="003C1910" w:rsidRDefault="006E6E50" w:rsidP="006E6E50">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Trainers (the recipients of the training materials) will be DPAs and DPOs who should be considered domain experts (although their audiences/participants will not be). </w:t>
      </w:r>
    </w:p>
    <w:p w14:paraId="3B4F1E63" w14:textId="77777777" w:rsidR="006E6E50" w:rsidRPr="003C1910" w:rsidRDefault="006E6E50" w:rsidP="006E6E50">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aim of the training materials is to significantly reduce the overheads and difficulties of assembling and delivering training sessions by domain experts, not to replace these experts. </w:t>
      </w:r>
    </w:p>
    <w:p w14:paraId="654D91D5" w14:textId="77777777" w:rsidR="006E6E50" w:rsidRPr="003C1910" w:rsidRDefault="006E6E50" w:rsidP="006E6E50">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As experts, the users of the training materials can and will modify these materials (STAR cannot anticipate all situations, but it is aiming for a wide as possible coverage and usability). </w:t>
      </w:r>
    </w:p>
    <w:p w14:paraId="6BE0785C" w14:textId="77777777" w:rsidR="006E6E50" w:rsidRPr="003C1910" w:rsidRDefault="006E6E50" w:rsidP="006E6E50">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STAR will provide guidance on how they might be adapted.  </w:t>
      </w:r>
    </w:p>
    <w:p w14:paraId="490BE807" w14:textId="77777777" w:rsidR="006E6E50" w:rsidRPr="003C1910" w:rsidRDefault="006E6E50" w:rsidP="006E6E50">
      <w:pPr>
        <w:pStyle w:val="NormalWeb"/>
        <w:spacing w:before="0" w:beforeAutospacing="0" w:after="0" w:afterAutospacing="0"/>
        <w:ind w:left="720"/>
        <w:textAlignment w:val="baseline"/>
        <w:rPr>
          <w:rFonts w:asciiTheme="minorHAnsi" w:hAnsiTheme="minorHAnsi" w:cs="Arial"/>
          <w:color w:val="000000"/>
          <w:szCs w:val="22"/>
          <w:lang w:val="en-GB"/>
        </w:rPr>
      </w:pPr>
    </w:p>
    <w:p w14:paraId="5D17EBEA" w14:textId="002EA774" w:rsidR="00832D49" w:rsidRPr="003C1910" w:rsidRDefault="00832D49" w:rsidP="00832D49">
      <w:pPr>
        <w:pStyle w:val="NormalWeb"/>
        <w:numPr>
          <w:ilvl w:val="0"/>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Trainees exposed to the STAR materials will have various levels of experience, from no previous knowledge of the GDPR, to experienced data protection professionals looking for practical strategies. The STAR training materials should encompass this diversity. </w:t>
      </w:r>
    </w:p>
    <w:p w14:paraId="4EABBC2A" w14:textId="045C31AB" w:rsidR="00832D49" w:rsidRPr="003C1910" w:rsidRDefault="00832D49" w:rsidP="00832D49">
      <w:pPr>
        <w:pStyle w:val="NormalWeb"/>
        <w:numPr>
          <w:ilvl w:val="1"/>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We can anticipate </w:t>
      </w:r>
      <w:r w:rsidR="00A94504" w:rsidRPr="003C1910">
        <w:rPr>
          <w:rFonts w:asciiTheme="minorHAnsi" w:hAnsiTheme="minorHAnsi" w:cs="Arial"/>
          <w:color w:val="000000"/>
          <w:szCs w:val="22"/>
          <w:lang w:val="en-GB"/>
        </w:rPr>
        <w:t>trainees</w:t>
      </w:r>
      <w:r w:rsidRPr="003C1910">
        <w:rPr>
          <w:rFonts w:asciiTheme="minorHAnsi" w:hAnsiTheme="minorHAnsi" w:cs="Arial"/>
          <w:color w:val="000000"/>
          <w:szCs w:val="22"/>
          <w:lang w:val="en-GB"/>
        </w:rPr>
        <w:t xml:space="preserve"> to frequently be problem-centred rather than subject-centred in their learning.</w:t>
      </w:r>
      <w:r w:rsidRPr="003C1910">
        <w:rPr>
          <w:rStyle w:val="FootnoteReference"/>
          <w:rFonts w:asciiTheme="minorHAnsi" w:hAnsiTheme="minorHAnsi" w:cs="Arial"/>
          <w:color w:val="000000"/>
          <w:szCs w:val="22"/>
          <w:lang w:val="en-GB"/>
        </w:rPr>
        <w:footnoteReference w:id="2"/>
      </w:r>
      <w:r w:rsidRPr="003C1910">
        <w:rPr>
          <w:rFonts w:asciiTheme="minorHAnsi" w:hAnsiTheme="minorHAnsi" w:cs="Arial"/>
          <w:color w:val="000000"/>
          <w:szCs w:val="22"/>
          <w:lang w:val="en-GB"/>
        </w:rPr>
        <w:t xml:space="preserve"> They are likely to be looking to the training for the solution to some particular problem or challenge, not out of general interest in the topic. </w:t>
      </w:r>
    </w:p>
    <w:p w14:paraId="7515380E" w14:textId="3BFF036D" w:rsidR="00832D49" w:rsidRPr="003C1910" w:rsidRDefault="00832D49" w:rsidP="00832D49">
      <w:pPr>
        <w:pStyle w:val="NormalWeb"/>
        <w:numPr>
          <w:ilvl w:val="1"/>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Fry et al</w:t>
      </w:r>
      <w:r w:rsidR="00A94504" w:rsidRPr="003C1910">
        <w:rPr>
          <w:rStyle w:val="FootnoteReference"/>
          <w:rFonts w:asciiTheme="minorHAnsi" w:hAnsiTheme="minorHAnsi" w:cs="Arial"/>
          <w:color w:val="000000"/>
          <w:szCs w:val="22"/>
          <w:lang w:val="en-GB"/>
        </w:rPr>
        <w:footnoteReference w:id="3"/>
      </w:r>
      <w:r w:rsidRPr="003C1910">
        <w:rPr>
          <w:rFonts w:asciiTheme="minorHAnsi" w:hAnsiTheme="minorHAnsi" w:cs="Arial"/>
          <w:color w:val="000000"/>
          <w:szCs w:val="22"/>
          <w:lang w:val="en-GB"/>
        </w:rPr>
        <w:t xml:space="preserve"> provide several observations that are relevant for the training material to be developed in STAR</w:t>
      </w:r>
      <w:r w:rsidR="001F4A18">
        <w:rPr>
          <w:rFonts w:asciiTheme="minorHAnsi" w:hAnsiTheme="minorHAnsi" w:cs="Arial"/>
          <w:color w:val="000000"/>
          <w:szCs w:val="22"/>
          <w:lang w:val="en-GB"/>
        </w:rPr>
        <w:t>.</w:t>
      </w:r>
    </w:p>
    <w:p w14:paraId="6C186CB4" w14:textId="41333FEB"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Learners experience the same teaching in different ways</w:t>
      </w:r>
      <w:r w:rsidR="001F4A18">
        <w:rPr>
          <w:rFonts w:asciiTheme="minorHAnsi" w:hAnsiTheme="minorHAnsi" w:cs="Arial"/>
          <w:color w:val="000000"/>
          <w:szCs w:val="22"/>
          <w:lang w:val="en-GB"/>
        </w:rPr>
        <w:t>.</w:t>
      </w:r>
    </w:p>
    <w:p w14:paraId="5DC84B3A" w14:textId="52398028"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Learners will approach learning in a variety of ways and they ways that content is delivered by affect their learning approach.</w:t>
      </w:r>
    </w:p>
    <w:p w14:paraId="02F6547A" w14:textId="6627F39C"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Prior knowledge needs to be activated</w:t>
      </w:r>
      <w:r w:rsidR="001F4A18">
        <w:rPr>
          <w:rFonts w:asciiTheme="minorHAnsi" w:hAnsiTheme="minorHAnsi" w:cs="Arial"/>
          <w:color w:val="000000"/>
          <w:szCs w:val="22"/>
          <w:lang w:val="en-GB"/>
        </w:rPr>
        <w:t>.</w:t>
      </w:r>
    </w:p>
    <w:p w14:paraId="7F01A077" w14:textId="16EDADD6"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Learners need to engage with that why are learning so that transformation and internalization can occur. </w:t>
      </w:r>
    </w:p>
    <w:p w14:paraId="57D8700F" w14:textId="5A95DA25"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Learners bring valuable experience to learning</w:t>
      </w:r>
      <w:r w:rsidR="001F4A18">
        <w:rPr>
          <w:rFonts w:asciiTheme="minorHAnsi" w:hAnsiTheme="minorHAnsi" w:cs="Arial"/>
          <w:color w:val="000000"/>
          <w:szCs w:val="22"/>
          <w:lang w:val="en-GB"/>
        </w:rPr>
        <w:t>.</w:t>
      </w:r>
    </w:p>
    <w:p w14:paraId="05DD2F6D" w14:textId="4FC52914"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Learners taking a discipline that is new to them may struggle to think in the appropriate manner.</w:t>
      </w:r>
    </w:p>
    <w:p w14:paraId="59C5BD0E" w14:textId="052414AD"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lastRenderedPageBreak/>
        <w:t xml:space="preserve">Teachers need to be aware of the impact of cultural background and beliefs on learner </w:t>
      </w:r>
      <w:r w:rsidR="00AD2370" w:rsidRPr="003C1910">
        <w:rPr>
          <w:rFonts w:asciiTheme="minorHAnsi" w:hAnsiTheme="minorHAnsi" w:cs="Arial"/>
          <w:color w:val="000000"/>
          <w:szCs w:val="22"/>
          <w:lang w:val="en-GB"/>
        </w:rPr>
        <w:t>behaviour</w:t>
      </w:r>
      <w:r w:rsidRPr="003C1910">
        <w:rPr>
          <w:rFonts w:asciiTheme="minorHAnsi" w:hAnsiTheme="minorHAnsi" w:cs="Arial"/>
          <w:color w:val="000000"/>
          <w:szCs w:val="22"/>
          <w:lang w:val="en-GB"/>
        </w:rPr>
        <w:t xml:space="preserve">, interpretation and understanding. </w:t>
      </w:r>
    </w:p>
    <w:p w14:paraId="1547481F" w14:textId="4B09109F"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Feedback and discussion are important in enabling the teacher and </w:t>
      </w:r>
      <w:r w:rsidR="00AD2370" w:rsidRPr="003C1910">
        <w:rPr>
          <w:rFonts w:asciiTheme="minorHAnsi" w:hAnsiTheme="minorHAnsi" w:cs="Arial"/>
          <w:color w:val="000000"/>
          <w:szCs w:val="22"/>
          <w:lang w:val="en-GB"/>
        </w:rPr>
        <w:t>learner</w:t>
      </w:r>
      <w:r w:rsidRPr="003C1910">
        <w:rPr>
          <w:rFonts w:asciiTheme="minorHAnsi" w:hAnsiTheme="minorHAnsi" w:cs="Arial"/>
          <w:color w:val="000000"/>
          <w:szCs w:val="22"/>
          <w:lang w:val="en-GB"/>
        </w:rPr>
        <w:t xml:space="preserve"> to check that </w:t>
      </w:r>
      <w:r w:rsidR="00AD2370" w:rsidRPr="003C1910">
        <w:rPr>
          <w:rFonts w:asciiTheme="minorHAnsi" w:hAnsiTheme="minorHAnsi" w:cs="Arial"/>
          <w:color w:val="000000"/>
          <w:szCs w:val="22"/>
          <w:lang w:val="en-GB"/>
        </w:rPr>
        <w:t>accommodations</w:t>
      </w:r>
      <w:r w:rsidRPr="003C1910">
        <w:rPr>
          <w:rFonts w:asciiTheme="minorHAnsi" w:hAnsiTheme="minorHAnsi" w:cs="Arial"/>
          <w:color w:val="000000"/>
          <w:szCs w:val="22"/>
          <w:lang w:val="en-GB"/>
        </w:rPr>
        <w:t xml:space="preserve"> of new understanding are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correct</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w:t>
      </w:r>
    </w:p>
    <w:p w14:paraId="0C58BA58" w14:textId="0C726A8C" w:rsidR="00832D49" w:rsidRPr="003C1910" w:rsidRDefault="00832D49" w:rsidP="00832D49">
      <w:pPr>
        <w:pStyle w:val="NormalWeb"/>
        <w:numPr>
          <w:ilvl w:val="2"/>
          <w:numId w:val="4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Formal and informal discussion of what is being leant in a peer (small) group can be a powerful learning tool. </w:t>
      </w:r>
    </w:p>
    <w:p w14:paraId="31CDCB02" w14:textId="77777777" w:rsidR="00832D49" w:rsidRPr="003C1910" w:rsidRDefault="00832D49" w:rsidP="00832D49">
      <w:pPr>
        <w:pStyle w:val="NormalWeb"/>
        <w:spacing w:before="0" w:beforeAutospacing="0" w:after="0" w:afterAutospacing="0"/>
        <w:textAlignment w:val="baseline"/>
        <w:rPr>
          <w:rFonts w:asciiTheme="minorHAnsi" w:hAnsiTheme="minorHAnsi" w:cs="Arial"/>
          <w:color w:val="000000"/>
          <w:szCs w:val="22"/>
          <w:lang w:val="en-GB"/>
        </w:rPr>
      </w:pPr>
    </w:p>
    <w:p w14:paraId="1899F32E" w14:textId="4A313701" w:rsidR="005D076F" w:rsidRPr="003C1910" w:rsidRDefault="005D076F" w:rsidP="005D076F">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training materials will be delivered in face-to-face training sessions.</w:t>
      </w:r>
    </w:p>
    <w:p w14:paraId="430B12AD" w14:textId="77777777" w:rsidR="006E6E50"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Face to face training remains common and in-demand with all stakeholder groups. It was identified as useful, effective and an efficient way of introducing trainees to the materials as well as the best format for fostering interaction and discussion. It also had other benefits for DPAs including building working relationships.</w:t>
      </w:r>
    </w:p>
    <w:p w14:paraId="1AD8412E" w14:textId="37329BBF" w:rsidR="006E6E50" w:rsidRPr="003C1910" w:rsidRDefault="006E6E50" w:rsidP="006E6E50">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effective delivery of training in this field is strongly influenced by several logistical factors in addition to the inherent nature of the training and the pedagogic strategies. This includes, for example, the time that trainees can take to receive training, travel to and from training locations</w:t>
      </w:r>
      <w:r w:rsidR="001F4A18">
        <w:rPr>
          <w:rFonts w:asciiTheme="minorHAnsi" w:hAnsiTheme="minorHAnsi" w:cs="Arial"/>
          <w:color w:val="000000"/>
          <w:szCs w:val="22"/>
          <w:lang w:val="en-GB"/>
        </w:rPr>
        <w:t>.</w:t>
      </w:r>
    </w:p>
    <w:p w14:paraId="6512F0F1" w14:textId="3B1C8C59"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 </w:t>
      </w:r>
      <w:r w:rsidR="006E6E50" w:rsidRPr="003C1910">
        <w:rPr>
          <w:rFonts w:asciiTheme="minorHAnsi" w:hAnsiTheme="minorHAnsi" w:cs="Arial"/>
          <w:color w:val="000000"/>
          <w:szCs w:val="22"/>
          <w:lang w:val="en-GB"/>
        </w:rPr>
        <w:t>Training material should be developed that can fit within the time and logistical limits of face-to-face sessions.</w:t>
      </w:r>
    </w:p>
    <w:p w14:paraId="22B24776" w14:textId="77777777" w:rsidR="005D076F" w:rsidRPr="003C1910" w:rsidRDefault="005D076F" w:rsidP="005D076F">
      <w:pPr>
        <w:pStyle w:val="NormalWeb"/>
        <w:spacing w:before="0" w:beforeAutospacing="0" w:after="0" w:afterAutospacing="0"/>
        <w:ind w:left="1440"/>
        <w:textAlignment w:val="baseline"/>
        <w:rPr>
          <w:rFonts w:asciiTheme="minorHAnsi" w:hAnsiTheme="minorHAnsi" w:cs="Arial"/>
          <w:color w:val="000000"/>
          <w:szCs w:val="22"/>
          <w:lang w:val="en-GB"/>
        </w:rPr>
      </w:pPr>
    </w:p>
    <w:p w14:paraId="2C6C41A6" w14:textId="77777777" w:rsidR="005D076F" w:rsidRPr="003C1910" w:rsidRDefault="005D076F" w:rsidP="005D076F">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training materials may also be used for online training (webinar or e-learning).</w:t>
      </w:r>
    </w:p>
    <w:p w14:paraId="501F5798" w14:textId="77777777"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Some DPAs and DPOs were either making use of, or exploring the use of, online training platforms and approaches. </w:t>
      </w:r>
    </w:p>
    <w:p w14:paraId="5D703756" w14:textId="77777777"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STAR should support these activities by producing content that is usable in online training, in addition to face-to-face.</w:t>
      </w:r>
    </w:p>
    <w:p w14:paraId="3507C545" w14:textId="15623E0D"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Training material might therefore be encountered by trainees without the scaffolding of a classroom training session (for example, they are provided with a PowerPoint slide deck to review at their own pace). </w:t>
      </w:r>
    </w:p>
    <w:p w14:paraId="0627B88B" w14:textId="35CF8F36" w:rsidR="005D076F" w:rsidRPr="003C1910" w:rsidRDefault="005D076F" w:rsidP="005D076F">
      <w:pPr>
        <w:pStyle w:val="NormalWeb"/>
        <w:numPr>
          <w:ilvl w:val="1"/>
          <w:numId w:val="25"/>
        </w:numPr>
        <w:spacing w:before="0" w:beforeAutospacing="0" w:after="0" w:afterAutospacing="0"/>
        <w:textAlignment w:val="baseline"/>
        <w:rPr>
          <w:rFonts w:asciiTheme="minorHAnsi" w:hAnsiTheme="minorHAnsi" w:cs="Arial"/>
          <w:color w:val="000000"/>
          <w:szCs w:val="22"/>
          <w:highlight w:val="green"/>
          <w:lang w:val="en-GB"/>
        </w:rPr>
      </w:pPr>
      <w:r w:rsidRPr="003C1910">
        <w:rPr>
          <w:rFonts w:asciiTheme="minorHAnsi" w:hAnsiTheme="minorHAnsi" w:cs="Arial"/>
          <w:color w:val="000000"/>
          <w:szCs w:val="22"/>
          <w:highlight w:val="green"/>
          <w:lang w:val="en-GB"/>
        </w:rPr>
        <w:t xml:space="preserve">The </w:t>
      </w:r>
      <w:r w:rsidR="00AD2370" w:rsidRPr="003C1910">
        <w:rPr>
          <w:rFonts w:asciiTheme="minorHAnsi" w:hAnsiTheme="minorHAnsi" w:cs="Arial"/>
          <w:color w:val="000000"/>
          <w:szCs w:val="22"/>
          <w:highlight w:val="green"/>
          <w:lang w:val="en-GB"/>
        </w:rPr>
        <w:t>trialling</w:t>
      </w:r>
      <w:r w:rsidRPr="003C1910">
        <w:rPr>
          <w:rFonts w:asciiTheme="minorHAnsi" w:hAnsiTheme="minorHAnsi" w:cs="Arial"/>
          <w:color w:val="000000"/>
          <w:szCs w:val="22"/>
          <w:highlight w:val="green"/>
          <w:lang w:val="en-GB"/>
        </w:rPr>
        <w:t xml:space="preserve"> of the training materials within the project should include this aspect. </w:t>
      </w:r>
    </w:p>
    <w:p w14:paraId="3CDF631F" w14:textId="77777777" w:rsidR="005D076F" w:rsidRPr="003C1910" w:rsidRDefault="005D076F" w:rsidP="005D076F">
      <w:pPr>
        <w:pStyle w:val="NormalWeb"/>
        <w:spacing w:before="0" w:beforeAutospacing="0" w:after="0" w:afterAutospacing="0"/>
        <w:ind w:left="1440"/>
        <w:textAlignment w:val="baseline"/>
        <w:rPr>
          <w:rFonts w:asciiTheme="minorHAnsi" w:hAnsiTheme="minorHAnsi" w:cs="Arial"/>
          <w:color w:val="000000"/>
          <w:szCs w:val="22"/>
          <w:highlight w:val="green"/>
          <w:lang w:val="en-GB"/>
        </w:rPr>
      </w:pPr>
    </w:p>
    <w:p w14:paraId="7D064E02" w14:textId="77777777" w:rsidR="006E6E50" w:rsidRPr="003C1910" w:rsidRDefault="00AF6694" w:rsidP="00AF6694">
      <w:pPr>
        <w:pStyle w:val="NormalWeb"/>
        <w:numPr>
          <w:ilvl w:val="0"/>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STAR training materials</w:t>
      </w:r>
      <w:r w:rsidR="006E6E50" w:rsidRPr="003C1910">
        <w:rPr>
          <w:rFonts w:asciiTheme="minorHAnsi" w:hAnsiTheme="minorHAnsi" w:cs="Arial"/>
          <w:color w:val="000000"/>
          <w:szCs w:val="22"/>
          <w:lang w:val="en-GB"/>
        </w:rPr>
        <w:t xml:space="preserve"> will be</w:t>
      </w:r>
      <w:r w:rsidRPr="003C1910">
        <w:rPr>
          <w:rFonts w:asciiTheme="minorHAnsi" w:hAnsiTheme="minorHAnsi" w:cs="Arial"/>
          <w:color w:val="000000"/>
          <w:szCs w:val="22"/>
          <w:lang w:val="en-GB"/>
        </w:rPr>
        <w:t xml:space="preserve"> structured around a set of key topics. </w:t>
      </w:r>
    </w:p>
    <w:p w14:paraId="5BD12770" w14:textId="217D1AF2" w:rsidR="00AF6694" w:rsidRPr="003C1910" w:rsidRDefault="00AF6694" w:rsidP="006E6E50">
      <w:pPr>
        <w:pStyle w:val="NormalWeb"/>
        <w:numPr>
          <w:ilvl w:val="1"/>
          <w:numId w:val="2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Alternative methods of structuring the materials were suggested in the interviews - for example, breaking up by industry sector or size of the group being trained. </w:t>
      </w:r>
      <w:r w:rsidR="006E6E50" w:rsidRPr="003C1910">
        <w:rPr>
          <w:rFonts w:asciiTheme="minorHAnsi" w:hAnsiTheme="minorHAnsi" w:cs="Arial"/>
          <w:color w:val="000000"/>
          <w:szCs w:val="22"/>
          <w:lang w:val="en-GB"/>
        </w:rPr>
        <w:t xml:space="preserve">However, the topic approach still provides the best balance of general applicability and relevance, for the effort available. </w:t>
      </w:r>
    </w:p>
    <w:p w14:paraId="67096F7C" w14:textId="77777777" w:rsidR="006E6E50" w:rsidRPr="003C1910" w:rsidRDefault="006E6E50" w:rsidP="00CE3505">
      <w:pPr>
        <w:rPr>
          <w:lang w:val="en-GB"/>
        </w:rPr>
      </w:pPr>
    </w:p>
    <w:p w14:paraId="0C675B41" w14:textId="4703A7E5" w:rsidR="006E6E50" w:rsidRPr="003C1910" w:rsidRDefault="006E6E50" w:rsidP="006E6E50">
      <w:pPr>
        <w:pStyle w:val="NormalWeb"/>
        <w:numPr>
          <w:ilvl w:val="0"/>
          <w:numId w:val="25"/>
        </w:numPr>
        <w:spacing w:after="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STAR materials should </w:t>
      </w:r>
      <w:r w:rsidR="00CE3505" w:rsidRPr="003C1910">
        <w:rPr>
          <w:rFonts w:asciiTheme="minorHAnsi" w:hAnsiTheme="minorHAnsi" w:cs="Arial"/>
          <w:color w:val="000000"/>
          <w:szCs w:val="22"/>
          <w:lang w:val="en-GB"/>
        </w:rPr>
        <w:t>remain relevant in the mid-term future</w:t>
      </w:r>
    </w:p>
    <w:p w14:paraId="0B2E6663" w14:textId="4D24AF0A" w:rsidR="00CE3505" w:rsidRPr="003C1910" w:rsidRDefault="00CE3505" w:rsidP="00CE3505">
      <w:pPr>
        <w:pStyle w:val="NormalWeb"/>
        <w:numPr>
          <w:ilvl w:val="1"/>
          <w:numId w:val="25"/>
        </w:numPr>
        <w:spacing w:after="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We suggest that STAR training materials are designed for longer term use and do not inherently focus upon what is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new</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in the GDPR, but rather on what is </w:t>
      </w:r>
      <w:r w:rsidRPr="00B43801">
        <w:rPr>
          <w:rFonts w:asciiTheme="minorHAnsi" w:hAnsiTheme="minorHAnsi" w:cs="Arial"/>
          <w:color w:val="000000"/>
          <w:szCs w:val="22"/>
          <w:lang w:val="en-GB"/>
        </w:rPr>
        <w:t>important, complex or otherwise requires training material</w:t>
      </w:r>
      <w:r w:rsidRPr="00E718F2">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w:t>
      </w:r>
    </w:p>
    <w:p w14:paraId="742486E8" w14:textId="77777777" w:rsidR="006E6E50" w:rsidRPr="003C1910" w:rsidRDefault="006E6E50" w:rsidP="006E6E50">
      <w:pPr>
        <w:pStyle w:val="NormalWeb"/>
        <w:numPr>
          <w:ilvl w:val="1"/>
          <w:numId w:val="25"/>
        </w:numPr>
        <w:spacing w:after="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Many current training materials and practices focus upon what is new about and/or being changed by the GDPR (for example, data protection impact assessments, new rights and obligations, right to be forgotten, data portability, definition of high risk processing). This follows from the timeframe of the GDPR entering into force. Data protection professionals wish to appraise themselves of the changes in order to understand the impact upon their work. </w:t>
      </w:r>
    </w:p>
    <w:p w14:paraId="38585842" w14:textId="77777777" w:rsidR="006E6E50" w:rsidRPr="003C1910" w:rsidRDefault="006E6E50" w:rsidP="006E6E50">
      <w:pPr>
        <w:pStyle w:val="NormalWeb"/>
        <w:numPr>
          <w:ilvl w:val="1"/>
          <w:numId w:val="25"/>
        </w:numPr>
        <w:spacing w:after="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Over time, this priority should be expected to change, as new professionals enter the field and require training, without any working experience of, for example Directive 95/46/EC. </w:t>
      </w:r>
    </w:p>
    <w:p w14:paraId="6592C420" w14:textId="0E1AAD53" w:rsidR="006E6E50" w:rsidRPr="003C1910" w:rsidRDefault="006E6E50" w:rsidP="00CE3505">
      <w:pPr>
        <w:pStyle w:val="NormalWeb"/>
        <w:numPr>
          <w:ilvl w:val="1"/>
          <w:numId w:val="25"/>
        </w:numPr>
        <w:textAlignment w:val="baseline"/>
        <w:rPr>
          <w:rFonts w:cs="Arial"/>
          <w:color w:val="000000"/>
          <w:szCs w:val="22"/>
          <w:lang w:val="en-GB"/>
        </w:rPr>
      </w:pPr>
      <w:r w:rsidRPr="003C1910">
        <w:rPr>
          <w:rFonts w:asciiTheme="minorHAnsi" w:hAnsiTheme="minorHAnsi" w:cs="Arial"/>
          <w:color w:val="000000"/>
          <w:szCs w:val="22"/>
          <w:lang w:val="en-GB"/>
        </w:rPr>
        <w:t xml:space="preserve">However, the selection of topics (section 3 below) has been influenced by what is novel about the GDPR. </w:t>
      </w:r>
    </w:p>
    <w:p w14:paraId="3077F5F6" w14:textId="73A1EF18" w:rsidR="00CE3505" w:rsidRPr="00B43801" w:rsidRDefault="00CE3505" w:rsidP="00CE3505">
      <w:pPr>
        <w:pStyle w:val="NormalWeb"/>
        <w:numPr>
          <w:ilvl w:val="1"/>
          <w:numId w:val="25"/>
        </w:numPr>
        <w:textAlignment w:val="baseline"/>
        <w:rPr>
          <w:rFonts w:asciiTheme="minorHAnsi" w:hAnsiTheme="minorHAnsi" w:cs="Arial"/>
          <w:color w:val="000000"/>
          <w:szCs w:val="22"/>
          <w:lang w:val="en-GB"/>
        </w:rPr>
      </w:pPr>
      <w:r w:rsidRPr="00B43801">
        <w:rPr>
          <w:rFonts w:asciiTheme="minorHAnsi" w:hAnsiTheme="minorHAnsi" w:cs="Arial"/>
          <w:color w:val="000000"/>
          <w:szCs w:val="22"/>
          <w:lang w:val="en-GB"/>
        </w:rPr>
        <w:lastRenderedPageBreak/>
        <w:t xml:space="preserve">Similarly, the training materials should include new guidance and opinions from the data protection authorities and the European Data Protection Board as they emerge through the development process. </w:t>
      </w:r>
    </w:p>
    <w:p w14:paraId="32FBB32A" w14:textId="77777777" w:rsidR="00CE3505" w:rsidRPr="003C1910" w:rsidRDefault="00CE3505" w:rsidP="00CE3505">
      <w:pPr>
        <w:rPr>
          <w:lang w:val="en-GB"/>
        </w:rPr>
      </w:pPr>
    </w:p>
    <w:p w14:paraId="0856318E" w14:textId="230FDF71" w:rsidR="00753294" w:rsidRPr="003C1910" w:rsidRDefault="00753294" w:rsidP="00753294">
      <w:pPr>
        <w:numPr>
          <w:ilvl w:val="0"/>
          <w:numId w:val="25"/>
        </w:numPr>
        <w:spacing w:before="100" w:beforeAutospacing="1" w:after="100" w:afterAutospacing="1"/>
        <w:jc w:val="left"/>
        <w:textAlignment w:val="baseline"/>
        <w:rPr>
          <w:rFonts w:cs="Arial"/>
          <w:color w:val="000000"/>
          <w:szCs w:val="22"/>
          <w:lang w:val="en-GB"/>
        </w:rPr>
      </w:pPr>
      <w:r w:rsidRPr="003C1910">
        <w:rPr>
          <w:rFonts w:cs="Arial"/>
          <w:color w:val="000000"/>
          <w:szCs w:val="22"/>
          <w:lang w:val="en-GB"/>
        </w:rPr>
        <w:t xml:space="preserve">The STAR training materials will be made freely available under a Creative Commons Attribution license (CC BY). </w:t>
      </w:r>
    </w:p>
    <w:p w14:paraId="3DDC3DFB" w14:textId="08CAE512" w:rsidR="00753294" w:rsidRPr="003C1910" w:rsidRDefault="00753294" w:rsidP="00753294">
      <w:pPr>
        <w:numPr>
          <w:ilvl w:val="1"/>
          <w:numId w:val="25"/>
        </w:numPr>
        <w:spacing w:before="100" w:beforeAutospacing="1" w:after="100" w:afterAutospacing="1"/>
        <w:jc w:val="left"/>
        <w:textAlignment w:val="baseline"/>
        <w:rPr>
          <w:rFonts w:cs="Arial"/>
          <w:color w:val="000000"/>
          <w:szCs w:val="22"/>
          <w:lang w:val="en-GB"/>
        </w:rPr>
      </w:pPr>
      <w:r w:rsidRPr="003C1910">
        <w:rPr>
          <w:lang w:val="en-GB"/>
        </w:rPr>
        <w:t>This license lets others distribute, remix, tweak, and build upon STAR</w:t>
      </w:r>
      <w:r w:rsidR="00D033D0">
        <w:rPr>
          <w:lang w:val="en-GB"/>
        </w:rPr>
        <w:t>’</w:t>
      </w:r>
      <w:r w:rsidRPr="003C1910">
        <w:rPr>
          <w:lang w:val="en-GB"/>
        </w:rPr>
        <w:t xml:space="preserve">s work, even commercially, as long as they credit STAR (or in specific cases individual authors) for the original creation. </w:t>
      </w:r>
    </w:p>
    <w:p w14:paraId="25A07345" w14:textId="77777777" w:rsidR="00753294" w:rsidRPr="003C1910" w:rsidRDefault="00753294" w:rsidP="00753294">
      <w:pPr>
        <w:numPr>
          <w:ilvl w:val="1"/>
          <w:numId w:val="25"/>
        </w:numPr>
        <w:spacing w:before="100" w:beforeAutospacing="1" w:after="100" w:afterAutospacing="1"/>
        <w:jc w:val="left"/>
        <w:textAlignment w:val="baseline"/>
        <w:rPr>
          <w:rFonts w:cs="Arial"/>
          <w:color w:val="000000"/>
          <w:szCs w:val="22"/>
          <w:lang w:val="en-GB"/>
        </w:rPr>
      </w:pPr>
      <w:r w:rsidRPr="003C1910">
        <w:rPr>
          <w:lang w:val="en-GB"/>
        </w:rPr>
        <w:t xml:space="preserve">This is the most accommodating of the Creative Commons licenses. It is recommended for maximum dissemination and use of licensed materials. </w:t>
      </w:r>
    </w:p>
    <w:p w14:paraId="11E64554" w14:textId="054359AA" w:rsidR="00753294" w:rsidRPr="003C1910" w:rsidRDefault="00753294" w:rsidP="00753294">
      <w:pPr>
        <w:numPr>
          <w:ilvl w:val="1"/>
          <w:numId w:val="25"/>
        </w:numPr>
        <w:spacing w:before="100" w:beforeAutospacing="1" w:after="100" w:afterAutospacing="1"/>
        <w:jc w:val="left"/>
        <w:textAlignment w:val="baseline"/>
        <w:rPr>
          <w:rFonts w:cs="Arial"/>
          <w:color w:val="000000"/>
          <w:szCs w:val="22"/>
          <w:lang w:val="en-GB"/>
        </w:rPr>
      </w:pPr>
      <w:r w:rsidRPr="003C1910">
        <w:rPr>
          <w:lang w:val="en-GB"/>
        </w:rPr>
        <w:t xml:space="preserve">The terms of this license are available at </w:t>
      </w:r>
      <w:hyperlink r:id="rId25" w:history="1">
        <w:r w:rsidRPr="003C1910">
          <w:rPr>
            <w:rStyle w:val="Hyperlink"/>
            <w:lang w:val="en-GB"/>
          </w:rPr>
          <w:t>https://creativecommons.org/licenses/by/4.0/</w:t>
        </w:r>
      </w:hyperlink>
      <w:r w:rsidRPr="003C1910">
        <w:rPr>
          <w:lang w:val="en-GB"/>
        </w:rPr>
        <w:t xml:space="preserve"> and </w:t>
      </w:r>
      <w:hyperlink r:id="rId26" w:history="1">
        <w:r w:rsidRPr="003C1910">
          <w:rPr>
            <w:rStyle w:val="Hyperlink"/>
            <w:lang w:val="en-GB"/>
          </w:rPr>
          <w:t>https://creativecommons.org/licenses/by/4.0/legalcode</w:t>
        </w:r>
      </w:hyperlink>
      <w:r w:rsidRPr="003C1910">
        <w:rPr>
          <w:lang w:val="en-GB"/>
        </w:rPr>
        <w:t xml:space="preserve"> </w:t>
      </w:r>
    </w:p>
    <w:p w14:paraId="03D38B87" w14:textId="0EBA12C4" w:rsidR="00A70C4D" w:rsidRPr="003C1910" w:rsidRDefault="00A70C4D" w:rsidP="00753294">
      <w:pPr>
        <w:numPr>
          <w:ilvl w:val="1"/>
          <w:numId w:val="25"/>
        </w:numPr>
        <w:spacing w:before="100" w:beforeAutospacing="1" w:after="100" w:afterAutospacing="1"/>
        <w:jc w:val="left"/>
        <w:textAlignment w:val="baseline"/>
        <w:rPr>
          <w:rFonts w:cs="Arial"/>
          <w:color w:val="000000"/>
          <w:szCs w:val="22"/>
          <w:lang w:val="en-GB"/>
        </w:rPr>
      </w:pPr>
      <w:r w:rsidRPr="003C1910">
        <w:rPr>
          <w:lang w:val="en-GB"/>
        </w:rPr>
        <w:t>As such the project must ensure that is has appropriate rights to use any images in the training in this manner.</w:t>
      </w:r>
    </w:p>
    <w:p w14:paraId="38F87405" w14:textId="2B863EF2" w:rsidR="00AF6694" w:rsidRPr="00A850F8" w:rsidRDefault="00AF6694" w:rsidP="00AF6694">
      <w:pPr>
        <w:pStyle w:val="Heading2"/>
        <w:rPr>
          <w:lang w:val="en-GB"/>
        </w:rPr>
      </w:pPr>
      <w:bookmarkStart w:id="11" w:name="_Toc513797483"/>
      <w:r w:rsidRPr="003C1910">
        <w:rPr>
          <w:lang w:val="en-GB"/>
        </w:rPr>
        <w:t>General requirements for the training materials.</w:t>
      </w:r>
      <w:bookmarkEnd w:id="11"/>
      <w:r w:rsidRPr="003C1910">
        <w:rPr>
          <w:lang w:val="en-GB"/>
        </w:rPr>
        <w:t xml:space="preserve"> </w:t>
      </w:r>
    </w:p>
    <w:p w14:paraId="2E87B018" w14:textId="645FA6FC"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color w:val="000000"/>
          <w:szCs w:val="22"/>
          <w:lang w:val="en-GB"/>
        </w:rPr>
        <w:t>Based upon the stakeholder analysis with DPAs and DPOs, the following general requirements have been identified</w:t>
      </w:r>
      <w:r w:rsidR="00975FB6" w:rsidRPr="003C1910">
        <w:rPr>
          <w:rFonts w:asciiTheme="minorHAnsi" w:hAnsiTheme="minorHAnsi" w:cs="Arial"/>
          <w:color w:val="000000"/>
          <w:szCs w:val="22"/>
          <w:lang w:val="en-GB"/>
        </w:rPr>
        <w:t>. These requirements apply across the training materials to be developed by STAR</w:t>
      </w:r>
      <w:r w:rsidRPr="003C1910">
        <w:rPr>
          <w:rFonts w:asciiTheme="minorHAnsi" w:hAnsiTheme="minorHAnsi" w:cs="Arial"/>
          <w:color w:val="000000"/>
          <w:szCs w:val="22"/>
          <w:lang w:val="en-GB"/>
        </w:rPr>
        <w:t>:</w:t>
      </w:r>
    </w:p>
    <w:p w14:paraId="267B5F1D" w14:textId="77777777" w:rsidR="00AF6694" w:rsidRPr="003C1910" w:rsidRDefault="00AF6694" w:rsidP="00AF6694">
      <w:pPr>
        <w:rPr>
          <w:lang w:val="en-GB"/>
        </w:rPr>
      </w:pPr>
    </w:p>
    <w:p w14:paraId="574C54A2" w14:textId="77777777" w:rsidR="00014EF5" w:rsidRPr="003C1910" w:rsidRDefault="00A04151" w:rsidP="00975FB6">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f</w:t>
      </w:r>
      <w:r w:rsidR="00AF6694" w:rsidRPr="003C1910">
        <w:rPr>
          <w:rFonts w:asciiTheme="minorHAnsi" w:hAnsiTheme="minorHAnsi" w:cs="Arial"/>
          <w:color w:val="000000"/>
          <w:szCs w:val="22"/>
          <w:lang w:val="en-GB"/>
        </w:rPr>
        <w:t xml:space="preserve">ormat </w:t>
      </w:r>
      <w:r w:rsidR="00975FB6" w:rsidRPr="003C1910">
        <w:rPr>
          <w:rFonts w:asciiTheme="minorHAnsi" w:hAnsiTheme="minorHAnsi" w:cs="Arial"/>
          <w:color w:val="000000"/>
          <w:szCs w:val="22"/>
          <w:lang w:val="en-GB"/>
        </w:rPr>
        <w:t xml:space="preserve">for each training material should be </w:t>
      </w:r>
      <w:r w:rsidR="00AF6694" w:rsidRPr="003C1910">
        <w:rPr>
          <w:rFonts w:asciiTheme="minorHAnsi" w:hAnsiTheme="minorHAnsi" w:cs="Arial"/>
          <w:b/>
          <w:color w:val="000000"/>
          <w:szCs w:val="22"/>
          <w:lang w:val="en-GB"/>
        </w:rPr>
        <w:t>editable and customisable</w:t>
      </w:r>
      <w:r w:rsidR="00AF6694" w:rsidRPr="003C1910">
        <w:rPr>
          <w:rFonts w:asciiTheme="minorHAnsi" w:hAnsiTheme="minorHAnsi" w:cs="Arial"/>
          <w:color w:val="000000"/>
          <w:szCs w:val="22"/>
          <w:lang w:val="en-GB"/>
        </w:rPr>
        <w:t>, and ready for localisation to enable DPA/DPO to amend as required (</w:t>
      </w:r>
      <w:r w:rsidR="00975FB6" w:rsidRPr="003C1910">
        <w:rPr>
          <w:rFonts w:asciiTheme="minorHAnsi" w:hAnsiTheme="minorHAnsi" w:cs="Arial"/>
          <w:color w:val="000000"/>
          <w:szCs w:val="22"/>
          <w:lang w:val="en-GB"/>
        </w:rPr>
        <w:t xml:space="preserve">for example, for them to </w:t>
      </w:r>
      <w:r w:rsidR="00AF6694" w:rsidRPr="003C1910">
        <w:rPr>
          <w:rFonts w:asciiTheme="minorHAnsi" w:hAnsiTheme="minorHAnsi" w:cs="Arial"/>
          <w:color w:val="000000"/>
          <w:szCs w:val="22"/>
          <w:lang w:val="en-GB"/>
        </w:rPr>
        <w:t>add own logos and trademarks</w:t>
      </w:r>
      <w:r w:rsidR="00975FB6" w:rsidRPr="003C1910">
        <w:rPr>
          <w:rFonts w:asciiTheme="minorHAnsi" w:hAnsiTheme="minorHAnsi" w:cs="Arial"/>
          <w:color w:val="000000"/>
          <w:szCs w:val="22"/>
          <w:lang w:val="en-GB"/>
        </w:rPr>
        <w:t>, but also institutional design language</w:t>
      </w:r>
      <w:r w:rsidR="00014EF5" w:rsidRPr="003C1910">
        <w:rPr>
          <w:rFonts w:asciiTheme="minorHAnsi" w:hAnsiTheme="minorHAnsi" w:cs="Arial"/>
          <w:color w:val="000000"/>
          <w:szCs w:val="22"/>
          <w:lang w:val="en-GB"/>
        </w:rPr>
        <w:t>s</w:t>
      </w:r>
      <w:r w:rsidR="00975FB6" w:rsidRPr="003C1910">
        <w:rPr>
          <w:rFonts w:asciiTheme="minorHAnsi" w:hAnsiTheme="minorHAnsi" w:cs="Arial"/>
          <w:color w:val="000000"/>
          <w:szCs w:val="22"/>
          <w:lang w:val="en-GB"/>
        </w:rPr>
        <w:t xml:space="preserve"> – e.g. corporate colours and fonts)</w:t>
      </w:r>
      <w:r w:rsidR="00AF6694" w:rsidRPr="003C1910">
        <w:rPr>
          <w:rFonts w:asciiTheme="minorHAnsi" w:hAnsiTheme="minorHAnsi" w:cs="Arial"/>
          <w:color w:val="000000"/>
          <w:szCs w:val="22"/>
          <w:lang w:val="en-GB"/>
        </w:rPr>
        <w:t xml:space="preserve"> and </w:t>
      </w:r>
      <w:r w:rsidR="00014EF5" w:rsidRPr="003C1910">
        <w:rPr>
          <w:rFonts w:asciiTheme="minorHAnsi" w:hAnsiTheme="minorHAnsi" w:cs="Arial"/>
          <w:color w:val="000000"/>
          <w:szCs w:val="22"/>
          <w:lang w:val="en-GB"/>
        </w:rPr>
        <w:t xml:space="preserve">otherwise </w:t>
      </w:r>
      <w:r w:rsidR="00AF6694" w:rsidRPr="003C1910">
        <w:rPr>
          <w:rFonts w:asciiTheme="minorHAnsi" w:hAnsiTheme="minorHAnsi" w:cs="Arial"/>
          <w:color w:val="000000"/>
          <w:szCs w:val="22"/>
          <w:lang w:val="en-GB"/>
        </w:rPr>
        <w:t>interact with as they wish.</w:t>
      </w:r>
      <w:r w:rsidR="00975FB6" w:rsidRPr="003C1910">
        <w:rPr>
          <w:rFonts w:asciiTheme="minorHAnsi" w:hAnsiTheme="minorHAnsi" w:cs="Arial"/>
          <w:color w:val="000000"/>
          <w:szCs w:val="22"/>
          <w:lang w:val="en-GB"/>
        </w:rPr>
        <w:t xml:space="preserve"> </w:t>
      </w:r>
    </w:p>
    <w:p w14:paraId="23D3548C" w14:textId="42569F42" w:rsidR="00975FB6" w:rsidRPr="003C1910" w:rsidRDefault="00975FB6" w:rsidP="00014EF5">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Content </w:t>
      </w:r>
      <w:r w:rsidR="00014EF5" w:rsidRPr="003C1910">
        <w:rPr>
          <w:rFonts w:asciiTheme="minorHAnsi" w:hAnsiTheme="minorHAnsi" w:cs="Arial"/>
          <w:color w:val="000000"/>
          <w:szCs w:val="22"/>
          <w:lang w:val="en-GB"/>
        </w:rPr>
        <w:t>should</w:t>
      </w:r>
      <w:r w:rsidRPr="003C1910">
        <w:rPr>
          <w:rFonts w:asciiTheme="minorHAnsi" w:hAnsiTheme="minorHAnsi" w:cs="Arial"/>
          <w:color w:val="000000"/>
          <w:szCs w:val="22"/>
          <w:lang w:val="en-GB"/>
        </w:rPr>
        <w:t xml:space="preserve"> be re-us</w:t>
      </w:r>
      <w:r w:rsidR="00014EF5" w:rsidRPr="003C1910">
        <w:rPr>
          <w:rFonts w:asciiTheme="minorHAnsi" w:hAnsiTheme="minorHAnsi" w:cs="Arial"/>
          <w:color w:val="000000"/>
          <w:szCs w:val="22"/>
          <w:lang w:val="en-GB"/>
        </w:rPr>
        <w:t>able</w:t>
      </w:r>
      <w:r w:rsidRPr="003C1910">
        <w:rPr>
          <w:rFonts w:asciiTheme="minorHAnsi" w:hAnsiTheme="minorHAnsi" w:cs="Arial"/>
          <w:color w:val="000000"/>
          <w:szCs w:val="22"/>
          <w:lang w:val="en-GB"/>
        </w:rPr>
        <w:t xml:space="preserve"> and </w:t>
      </w:r>
      <w:proofErr w:type="spellStart"/>
      <w:r w:rsidRPr="003C1910">
        <w:rPr>
          <w:rFonts w:asciiTheme="minorHAnsi" w:hAnsiTheme="minorHAnsi" w:cs="Arial"/>
          <w:color w:val="000000"/>
          <w:szCs w:val="22"/>
          <w:lang w:val="en-GB"/>
        </w:rPr>
        <w:t>repurpos</w:t>
      </w:r>
      <w:r w:rsidR="00014EF5" w:rsidRPr="003C1910">
        <w:rPr>
          <w:rFonts w:asciiTheme="minorHAnsi" w:hAnsiTheme="minorHAnsi" w:cs="Arial"/>
          <w:color w:val="000000"/>
          <w:szCs w:val="22"/>
          <w:lang w:val="en-GB"/>
        </w:rPr>
        <w:t>able</w:t>
      </w:r>
      <w:proofErr w:type="spellEnd"/>
      <w:r w:rsidR="00014EF5" w:rsidRPr="003C1910">
        <w:rPr>
          <w:rFonts w:asciiTheme="minorHAnsi" w:hAnsiTheme="minorHAnsi" w:cs="Arial"/>
          <w:color w:val="000000"/>
          <w:szCs w:val="22"/>
          <w:lang w:val="en-GB"/>
        </w:rPr>
        <w:t xml:space="preserve"> by STAR end-users</w:t>
      </w:r>
      <w:r w:rsidRPr="003C1910">
        <w:rPr>
          <w:rFonts w:asciiTheme="minorHAnsi" w:hAnsiTheme="minorHAnsi" w:cs="Arial"/>
          <w:color w:val="000000"/>
          <w:szCs w:val="22"/>
          <w:lang w:val="en-GB"/>
        </w:rPr>
        <w:t xml:space="preserve">. </w:t>
      </w:r>
      <w:r w:rsidR="00EC206F" w:rsidRPr="003C1910">
        <w:rPr>
          <w:rFonts w:asciiTheme="minorHAnsi" w:hAnsiTheme="minorHAnsi" w:cs="Arial"/>
          <w:color w:val="000000"/>
          <w:szCs w:val="22"/>
          <w:lang w:val="en-GB"/>
        </w:rPr>
        <w:t xml:space="preserve">For example, </w:t>
      </w:r>
      <w:r w:rsidRPr="003C1910">
        <w:rPr>
          <w:rFonts w:asciiTheme="minorHAnsi" w:hAnsiTheme="minorHAnsi" w:cs="Arial"/>
          <w:color w:val="000000"/>
          <w:szCs w:val="22"/>
          <w:lang w:val="en-GB"/>
        </w:rPr>
        <w:t xml:space="preserve">DPOs indicated a desire for content that can be adapted and re-used within their organisation. </w:t>
      </w:r>
    </w:p>
    <w:p w14:paraId="3B01C0DF" w14:textId="0B69D033" w:rsidR="00B84F2A" w:rsidRPr="003C1910" w:rsidRDefault="00975FB6"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Material may also be made available in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finished</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or publishable versions with STAR branding for direct and immediate use where customization is not required.</w:t>
      </w:r>
    </w:p>
    <w:p w14:paraId="30265AA3" w14:textId="2DBFB210" w:rsidR="00975FB6" w:rsidRPr="003C1910" w:rsidRDefault="00B84F2A"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Developers of training materials should seek graphic design support in order to ensure materials remain editable. </w:t>
      </w:r>
      <w:r w:rsidR="00014EF5" w:rsidRPr="003C1910">
        <w:rPr>
          <w:rFonts w:asciiTheme="minorHAnsi" w:hAnsiTheme="minorHAnsi" w:cs="Arial"/>
          <w:color w:val="000000"/>
          <w:szCs w:val="22"/>
          <w:lang w:val="en-GB"/>
        </w:rPr>
        <w:t xml:space="preserve"> </w:t>
      </w:r>
    </w:p>
    <w:p w14:paraId="27827B2F" w14:textId="53E6CC17" w:rsidR="00AF6694" w:rsidRPr="003C1910" w:rsidRDefault="00975FB6"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training material should be </w:t>
      </w:r>
      <w:r w:rsidRPr="003C1910">
        <w:rPr>
          <w:rFonts w:asciiTheme="minorHAnsi" w:hAnsiTheme="minorHAnsi" w:cs="Arial"/>
          <w:b/>
          <w:color w:val="000000"/>
          <w:szCs w:val="22"/>
          <w:lang w:val="en-GB"/>
        </w:rPr>
        <w:t>e</w:t>
      </w:r>
      <w:r w:rsidR="00AF6694" w:rsidRPr="003C1910">
        <w:rPr>
          <w:rFonts w:asciiTheme="minorHAnsi" w:hAnsiTheme="minorHAnsi" w:cs="Arial"/>
          <w:b/>
          <w:color w:val="000000"/>
          <w:szCs w:val="22"/>
          <w:lang w:val="en-GB"/>
        </w:rPr>
        <w:t>asily understandable</w:t>
      </w:r>
      <w:r w:rsidRPr="003C1910">
        <w:rPr>
          <w:rFonts w:asciiTheme="minorHAnsi" w:hAnsiTheme="minorHAnsi" w:cs="Arial"/>
          <w:color w:val="000000"/>
          <w:szCs w:val="22"/>
          <w:lang w:val="en-GB"/>
        </w:rPr>
        <w:t xml:space="preserve">. It should: </w:t>
      </w:r>
    </w:p>
    <w:p w14:paraId="53BC7711" w14:textId="0DB681BF" w:rsidR="00AF6694" w:rsidRPr="003C1910" w:rsidRDefault="00975FB6" w:rsidP="00AF6694">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A</w:t>
      </w:r>
      <w:r w:rsidR="00AF6694" w:rsidRPr="003C1910">
        <w:rPr>
          <w:rFonts w:asciiTheme="minorHAnsi" w:hAnsiTheme="minorHAnsi" w:cs="Arial"/>
          <w:color w:val="000000"/>
          <w:szCs w:val="22"/>
          <w:lang w:val="en-GB"/>
        </w:rPr>
        <w:t>void</w:t>
      </w:r>
      <w:r w:rsidRPr="003C1910">
        <w:rPr>
          <w:rFonts w:asciiTheme="minorHAnsi" w:hAnsiTheme="minorHAnsi" w:cs="Arial"/>
          <w:color w:val="000000"/>
          <w:szCs w:val="22"/>
          <w:lang w:val="en-GB"/>
        </w:rPr>
        <w:t xml:space="preserve"> the use of legal jargon</w:t>
      </w:r>
      <w:r w:rsidR="00A850F8">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where possible, and explain any necessary speciali</w:t>
      </w:r>
      <w:r w:rsidR="00B84F2A" w:rsidRPr="003C1910">
        <w:rPr>
          <w:rFonts w:asciiTheme="minorHAnsi" w:hAnsiTheme="minorHAnsi" w:cs="Arial"/>
          <w:color w:val="000000"/>
          <w:szCs w:val="22"/>
          <w:lang w:val="en-GB"/>
        </w:rPr>
        <w:t>s</w:t>
      </w:r>
      <w:r w:rsidRPr="003C1910">
        <w:rPr>
          <w:rFonts w:asciiTheme="minorHAnsi" w:hAnsiTheme="minorHAnsi" w:cs="Arial"/>
          <w:color w:val="000000"/>
          <w:szCs w:val="22"/>
          <w:lang w:val="en-GB"/>
        </w:rPr>
        <w:t xml:space="preserve">ed terminology. </w:t>
      </w:r>
      <w:r w:rsidR="00AF6694" w:rsidRPr="003C1910">
        <w:rPr>
          <w:rFonts w:asciiTheme="minorHAnsi" w:hAnsiTheme="minorHAnsi" w:cs="Arial"/>
          <w:color w:val="000000"/>
          <w:szCs w:val="22"/>
          <w:lang w:val="en-GB"/>
        </w:rPr>
        <w:t xml:space="preserve"> </w:t>
      </w:r>
    </w:p>
    <w:p w14:paraId="00309B79" w14:textId="2D9C4272" w:rsidR="00AF6694" w:rsidRPr="003C1910" w:rsidRDefault="00AF6694" w:rsidP="00AF6694">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Define key concepts and terminology</w:t>
      </w:r>
      <w:r w:rsidR="00A850F8">
        <w:rPr>
          <w:rFonts w:asciiTheme="minorHAnsi" w:hAnsiTheme="minorHAnsi" w:cs="Arial"/>
          <w:color w:val="000000"/>
          <w:szCs w:val="22"/>
          <w:lang w:val="en-GB"/>
        </w:rPr>
        <w:t>.</w:t>
      </w:r>
    </w:p>
    <w:p w14:paraId="08B1D634" w14:textId="5EADE2E2" w:rsidR="005D076F" w:rsidRPr="003C1910" w:rsidRDefault="005D076F" w:rsidP="00AF6694">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Make good use of graphical elements to support written text</w:t>
      </w:r>
      <w:r w:rsidR="00A850F8">
        <w:rPr>
          <w:rFonts w:asciiTheme="minorHAnsi" w:hAnsiTheme="minorHAnsi" w:cs="Arial"/>
          <w:color w:val="000000"/>
          <w:szCs w:val="22"/>
          <w:lang w:val="en-GB"/>
        </w:rPr>
        <w:t>.</w:t>
      </w:r>
    </w:p>
    <w:p w14:paraId="016DA8C1" w14:textId="77777777" w:rsidR="00975FB6" w:rsidRPr="003C1910" w:rsidRDefault="00975FB6"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The training materials should make as much use as possible of </w:t>
      </w:r>
      <w:r w:rsidR="00AF6694" w:rsidRPr="003C1910">
        <w:rPr>
          <w:rFonts w:asciiTheme="minorHAnsi" w:hAnsiTheme="minorHAnsi" w:cs="Arial"/>
          <w:b/>
          <w:color w:val="000000"/>
          <w:szCs w:val="22"/>
          <w:lang w:val="en-GB"/>
        </w:rPr>
        <w:t>practical examples and case studies</w:t>
      </w:r>
      <w:r w:rsidRPr="003C1910">
        <w:rPr>
          <w:rFonts w:asciiTheme="minorHAnsi" w:hAnsiTheme="minorHAnsi" w:cs="Arial"/>
          <w:color w:val="000000"/>
          <w:szCs w:val="22"/>
          <w:lang w:val="en-GB"/>
        </w:rPr>
        <w:t>, as these were demanded by stakeholders and their use is supported by educational theory</w:t>
      </w:r>
    </w:p>
    <w:p w14:paraId="66073E58" w14:textId="77777777" w:rsidR="00A04151" w:rsidRPr="003C1910" w:rsidRDefault="00975FB6"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Such cases can inc</w:t>
      </w:r>
      <w:r w:rsidR="00AF6694" w:rsidRPr="003C1910">
        <w:rPr>
          <w:rFonts w:asciiTheme="minorHAnsi" w:hAnsiTheme="minorHAnsi" w:cs="Arial"/>
          <w:color w:val="000000"/>
          <w:szCs w:val="22"/>
          <w:lang w:val="en-GB"/>
        </w:rPr>
        <w:t>lude synthetic case studies,</w:t>
      </w:r>
      <w:r w:rsidR="00A04151" w:rsidRPr="003C1910">
        <w:rPr>
          <w:rFonts w:asciiTheme="minorHAnsi" w:hAnsiTheme="minorHAnsi" w:cs="Arial"/>
          <w:color w:val="000000"/>
          <w:szCs w:val="22"/>
          <w:lang w:val="en-GB"/>
        </w:rPr>
        <w:t xml:space="preserve"> generated to highlight specific issues or teaching points, </w:t>
      </w:r>
      <w:r w:rsidR="00AF6694" w:rsidRPr="003C1910">
        <w:rPr>
          <w:rFonts w:asciiTheme="minorHAnsi" w:hAnsiTheme="minorHAnsi" w:cs="Arial"/>
          <w:color w:val="000000"/>
          <w:szCs w:val="22"/>
          <w:lang w:val="en-GB"/>
        </w:rPr>
        <w:t>but real case studies are particularly desired.</w:t>
      </w:r>
    </w:p>
    <w:p w14:paraId="5F89B00B" w14:textId="75940282" w:rsidR="00832D49" w:rsidRPr="003C1910" w:rsidRDefault="00832D49"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Case studies promote vicarious experience for learners. </w:t>
      </w:r>
    </w:p>
    <w:p w14:paraId="3884511C" w14:textId="0653FFD1" w:rsidR="00AF6694" w:rsidRPr="003C1910" w:rsidRDefault="00A04151"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Case studies in the PHAEDRA II repository may be particularly useful for such purposes, especially where an international dimension is necessary.</w:t>
      </w:r>
      <w:r w:rsidR="00014EF5" w:rsidRPr="003C1910">
        <w:rPr>
          <w:rStyle w:val="FootnoteReference"/>
          <w:rFonts w:asciiTheme="minorHAnsi" w:hAnsiTheme="minorHAnsi" w:cs="Arial"/>
          <w:color w:val="000000"/>
          <w:szCs w:val="22"/>
          <w:lang w:val="en-GB"/>
        </w:rPr>
        <w:footnoteReference w:id="4"/>
      </w:r>
      <w:r w:rsidRPr="003C1910">
        <w:rPr>
          <w:rFonts w:asciiTheme="minorHAnsi" w:hAnsiTheme="minorHAnsi" w:cs="Arial"/>
          <w:color w:val="000000"/>
          <w:szCs w:val="22"/>
          <w:lang w:val="en-GB"/>
        </w:rPr>
        <w:t xml:space="preserve"> </w:t>
      </w:r>
      <w:r w:rsidR="00AF6694" w:rsidRPr="003C1910">
        <w:rPr>
          <w:rFonts w:asciiTheme="minorHAnsi" w:hAnsiTheme="minorHAnsi" w:cs="Arial"/>
          <w:color w:val="000000"/>
          <w:szCs w:val="22"/>
          <w:lang w:val="en-GB"/>
        </w:rPr>
        <w:t xml:space="preserve"> </w:t>
      </w:r>
    </w:p>
    <w:p w14:paraId="3563CEE6" w14:textId="19A98698" w:rsidR="00014EF5" w:rsidRPr="003C1910" w:rsidRDefault="00014EF5" w:rsidP="00975FB6">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International Law Library may also provide useful case studies.</w:t>
      </w:r>
      <w:r w:rsidRPr="003C1910">
        <w:rPr>
          <w:rStyle w:val="FootnoteReference"/>
          <w:rFonts w:asciiTheme="minorHAnsi" w:hAnsiTheme="minorHAnsi" w:cs="Arial"/>
          <w:color w:val="000000"/>
          <w:szCs w:val="22"/>
          <w:lang w:val="en-GB"/>
        </w:rPr>
        <w:footnoteReference w:id="5"/>
      </w:r>
    </w:p>
    <w:p w14:paraId="6DE52B89" w14:textId="30FC62E3" w:rsidR="00A04151" w:rsidRPr="003C1910" w:rsidRDefault="00A04151"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training materials should p</w:t>
      </w:r>
      <w:r w:rsidR="00AF6694" w:rsidRPr="003C1910">
        <w:rPr>
          <w:rFonts w:asciiTheme="minorHAnsi" w:hAnsiTheme="minorHAnsi" w:cs="Arial"/>
          <w:color w:val="000000"/>
          <w:szCs w:val="22"/>
          <w:lang w:val="en-GB"/>
        </w:rPr>
        <w:t xml:space="preserve">rovide </w:t>
      </w:r>
      <w:r w:rsidR="00AF6694" w:rsidRPr="003C1910">
        <w:rPr>
          <w:rFonts w:asciiTheme="minorHAnsi" w:hAnsiTheme="minorHAnsi" w:cs="Arial"/>
          <w:b/>
          <w:color w:val="000000"/>
          <w:szCs w:val="22"/>
          <w:lang w:val="en-GB"/>
        </w:rPr>
        <w:t>practical guidance</w:t>
      </w:r>
      <w:r w:rsidRPr="003C1910">
        <w:rPr>
          <w:rFonts w:asciiTheme="minorHAnsi" w:hAnsiTheme="minorHAnsi" w:cs="Arial"/>
          <w:b/>
          <w:color w:val="000000"/>
          <w:szCs w:val="22"/>
          <w:lang w:val="en-GB"/>
        </w:rPr>
        <w:t xml:space="preserve"> and instructions</w:t>
      </w:r>
      <w:r w:rsidRPr="003C1910">
        <w:rPr>
          <w:rFonts w:asciiTheme="minorHAnsi" w:hAnsiTheme="minorHAnsi" w:cs="Arial"/>
          <w:color w:val="000000"/>
          <w:szCs w:val="22"/>
          <w:lang w:val="en-GB"/>
        </w:rPr>
        <w:t>.</w:t>
      </w:r>
    </w:p>
    <w:p w14:paraId="4728600F" w14:textId="411A554F" w:rsidR="00AF6694" w:rsidRPr="003C1910" w:rsidRDefault="00A04151" w:rsidP="00A04151">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lastRenderedPageBreak/>
        <w:t xml:space="preserve">For example, </w:t>
      </w:r>
      <w:r w:rsidR="00AF6694" w:rsidRPr="003C1910">
        <w:rPr>
          <w:rFonts w:asciiTheme="minorHAnsi" w:hAnsiTheme="minorHAnsi" w:cs="Arial"/>
          <w:color w:val="000000"/>
          <w:szCs w:val="22"/>
          <w:lang w:val="en-GB"/>
        </w:rPr>
        <w:t>how-to</w:t>
      </w:r>
      <w:r w:rsidRPr="003C1910">
        <w:rPr>
          <w:rFonts w:asciiTheme="minorHAnsi" w:hAnsiTheme="minorHAnsi" w:cs="Arial"/>
          <w:color w:val="000000"/>
          <w:szCs w:val="22"/>
          <w:lang w:val="en-GB"/>
        </w:rPr>
        <w:t xml:space="preserve"> instructions</w:t>
      </w:r>
      <w:r w:rsidR="00AF6694" w:rsidRPr="003C1910">
        <w:rPr>
          <w:rFonts w:asciiTheme="minorHAnsi" w:hAnsiTheme="minorHAnsi" w:cs="Arial"/>
          <w:color w:val="000000"/>
          <w:szCs w:val="22"/>
          <w:lang w:val="en-GB"/>
        </w:rPr>
        <w:t>, Frequently</w:t>
      </w:r>
      <w:r w:rsidR="00014EF5" w:rsidRPr="003C1910">
        <w:rPr>
          <w:rFonts w:asciiTheme="minorHAnsi" w:hAnsiTheme="minorHAnsi" w:cs="Arial"/>
          <w:color w:val="000000"/>
          <w:szCs w:val="22"/>
          <w:lang w:val="en-GB"/>
        </w:rPr>
        <w:t>-A</w:t>
      </w:r>
      <w:r w:rsidR="00AF6694" w:rsidRPr="003C1910">
        <w:rPr>
          <w:rFonts w:asciiTheme="minorHAnsi" w:hAnsiTheme="minorHAnsi" w:cs="Arial"/>
          <w:color w:val="000000"/>
          <w:szCs w:val="22"/>
          <w:lang w:val="en-GB"/>
        </w:rPr>
        <w:t>sked</w:t>
      </w:r>
      <w:r w:rsidR="00014EF5" w:rsidRPr="003C1910">
        <w:rPr>
          <w:rFonts w:asciiTheme="minorHAnsi" w:hAnsiTheme="minorHAnsi" w:cs="Arial"/>
          <w:color w:val="000000"/>
          <w:szCs w:val="22"/>
          <w:lang w:val="en-GB"/>
        </w:rPr>
        <w:t>-Q</w:t>
      </w:r>
      <w:r w:rsidR="00AF6694" w:rsidRPr="003C1910">
        <w:rPr>
          <w:rFonts w:asciiTheme="minorHAnsi" w:hAnsiTheme="minorHAnsi" w:cs="Arial"/>
          <w:color w:val="000000"/>
          <w:szCs w:val="22"/>
          <w:lang w:val="en-GB"/>
        </w:rPr>
        <w:t>uestions lists, to-do lists, best practices</w:t>
      </w:r>
      <w:r w:rsidRPr="003C1910">
        <w:rPr>
          <w:rFonts w:asciiTheme="minorHAnsi" w:hAnsiTheme="minorHAnsi" w:cs="Arial"/>
          <w:color w:val="000000"/>
          <w:szCs w:val="22"/>
          <w:lang w:val="en-GB"/>
        </w:rPr>
        <w:t>, templates and tools</w:t>
      </w:r>
      <w:r w:rsidR="00AF6694" w:rsidRPr="003C1910">
        <w:rPr>
          <w:rFonts w:asciiTheme="minorHAnsi" w:hAnsiTheme="minorHAnsi" w:cs="Arial"/>
          <w:color w:val="000000"/>
          <w:szCs w:val="22"/>
          <w:lang w:val="en-GB"/>
        </w:rPr>
        <w:t>)</w:t>
      </w:r>
      <w:r w:rsidR="00014EF5" w:rsidRPr="003C1910">
        <w:rPr>
          <w:rFonts w:asciiTheme="minorHAnsi" w:hAnsiTheme="minorHAnsi" w:cs="Arial"/>
          <w:color w:val="000000"/>
          <w:szCs w:val="22"/>
          <w:lang w:val="en-GB"/>
        </w:rPr>
        <w:t xml:space="preserve">. </w:t>
      </w:r>
    </w:p>
    <w:p w14:paraId="72FA04D3" w14:textId="1FFB9D56" w:rsidR="00AF6694" w:rsidRPr="003C1910" w:rsidRDefault="00AF6694"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Material for interactive sessions should be designed to include, </w:t>
      </w:r>
      <w:r w:rsidRPr="003C1910">
        <w:rPr>
          <w:rFonts w:asciiTheme="minorHAnsi" w:hAnsiTheme="minorHAnsi" w:cs="Arial"/>
          <w:b/>
          <w:color w:val="000000"/>
          <w:szCs w:val="22"/>
          <w:lang w:val="en-GB"/>
        </w:rPr>
        <w:t>facilitate and encourage discussion</w:t>
      </w:r>
      <w:r w:rsidRPr="003C1910">
        <w:rPr>
          <w:rFonts w:asciiTheme="minorHAnsi" w:hAnsiTheme="minorHAnsi" w:cs="Arial"/>
          <w:color w:val="000000"/>
          <w:szCs w:val="22"/>
          <w:lang w:val="en-GB"/>
        </w:rPr>
        <w:t xml:space="preserve"> sessions and interaction between participants</w:t>
      </w:r>
      <w:r w:rsidR="00A04151" w:rsidRPr="003C1910">
        <w:rPr>
          <w:rFonts w:asciiTheme="minorHAnsi" w:hAnsiTheme="minorHAnsi" w:cs="Arial"/>
          <w:color w:val="000000"/>
          <w:szCs w:val="22"/>
          <w:lang w:val="en-GB"/>
        </w:rPr>
        <w:t>. Interaction was</w:t>
      </w:r>
      <w:r w:rsidRPr="003C1910">
        <w:rPr>
          <w:rFonts w:asciiTheme="minorHAnsi" w:hAnsiTheme="minorHAnsi" w:cs="Arial"/>
          <w:color w:val="000000"/>
          <w:szCs w:val="22"/>
          <w:lang w:val="en-GB"/>
        </w:rPr>
        <w:t xml:space="preserve"> strongly identified </w:t>
      </w:r>
      <w:r w:rsidR="00A04151" w:rsidRPr="003C1910">
        <w:rPr>
          <w:rFonts w:asciiTheme="minorHAnsi" w:hAnsiTheme="minorHAnsi" w:cs="Arial"/>
          <w:color w:val="000000"/>
          <w:szCs w:val="22"/>
          <w:lang w:val="en-GB"/>
        </w:rPr>
        <w:t xml:space="preserve">by stakeholders </w:t>
      </w:r>
      <w:r w:rsidRPr="003C1910">
        <w:rPr>
          <w:rFonts w:asciiTheme="minorHAnsi" w:hAnsiTheme="minorHAnsi" w:cs="Arial"/>
          <w:color w:val="000000"/>
          <w:szCs w:val="22"/>
          <w:lang w:val="en-GB"/>
        </w:rPr>
        <w:t xml:space="preserve">as a </w:t>
      </w:r>
      <w:r w:rsidR="00014EF5" w:rsidRPr="003C1910">
        <w:rPr>
          <w:rFonts w:asciiTheme="minorHAnsi" w:hAnsiTheme="minorHAnsi" w:cs="Arial"/>
          <w:color w:val="000000"/>
          <w:szCs w:val="22"/>
          <w:lang w:val="en-GB"/>
        </w:rPr>
        <w:t>key</w:t>
      </w:r>
      <w:r w:rsidRPr="003C1910">
        <w:rPr>
          <w:rFonts w:asciiTheme="minorHAnsi" w:hAnsiTheme="minorHAnsi" w:cs="Arial"/>
          <w:color w:val="000000"/>
          <w:szCs w:val="22"/>
          <w:lang w:val="en-GB"/>
        </w:rPr>
        <w:t xml:space="preserve"> source of learning and sharing of experience.</w:t>
      </w:r>
    </w:p>
    <w:p w14:paraId="7C9809A3" w14:textId="397053B2" w:rsidR="00AF6694" w:rsidRPr="003C1910" w:rsidRDefault="00AF6694"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On balance, general level material is available, and</w:t>
      </w:r>
      <w:r w:rsidR="00A04151" w:rsidRPr="003C1910">
        <w:rPr>
          <w:rFonts w:asciiTheme="minorHAnsi" w:hAnsiTheme="minorHAnsi" w:cs="Arial"/>
          <w:color w:val="000000"/>
          <w:szCs w:val="22"/>
          <w:lang w:val="en-GB"/>
        </w:rPr>
        <w:t xml:space="preserve"> whilst STAR</w:t>
      </w:r>
      <w:r w:rsidR="00D033D0">
        <w:rPr>
          <w:rFonts w:asciiTheme="minorHAnsi" w:hAnsiTheme="minorHAnsi" w:cs="Arial"/>
          <w:color w:val="000000"/>
          <w:szCs w:val="22"/>
          <w:lang w:val="en-GB"/>
        </w:rPr>
        <w:t>’</w:t>
      </w:r>
      <w:r w:rsidR="00A04151" w:rsidRPr="003C1910">
        <w:rPr>
          <w:rFonts w:asciiTheme="minorHAnsi" w:hAnsiTheme="minorHAnsi" w:cs="Arial"/>
          <w:color w:val="000000"/>
          <w:szCs w:val="22"/>
          <w:lang w:val="en-GB"/>
        </w:rPr>
        <w:t xml:space="preserve">s material must inevitably cover some general aspects, </w:t>
      </w:r>
      <w:r w:rsidRPr="003C1910">
        <w:rPr>
          <w:rFonts w:asciiTheme="minorHAnsi" w:hAnsiTheme="minorHAnsi" w:cs="Arial"/>
          <w:color w:val="000000"/>
          <w:szCs w:val="22"/>
          <w:lang w:val="en-GB"/>
        </w:rPr>
        <w:t xml:space="preserve">specific, focused training material should be </w:t>
      </w:r>
      <w:r w:rsidR="00A04151" w:rsidRPr="003C1910">
        <w:rPr>
          <w:rFonts w:asciiTheme="minorHAnsi" w:hAnsiTheme="minorHAnsi" w:cs="Arial"/>
          <w:color w:val="000000"/>
          <w:szCs w:val="22"/>
          <w:lang w:val="en-GB"/>
        </w:rPr>
        <w:t xml:space="preserve">the focus. </w:t>
      </w:r>
    </w:p>
    <w:p w14:paraId="211957A4" w14:textId="77777777" w:rsidR="00B84F2A" w:rsidRPr="003C1910" w:rsidRDefault="00AF6694" w:rsidP="00AF6694">
      <w:pPr>
        <w:pStyle w:val="NormalWeb"/>
        <w:numPr>
          <w:ilvl w:val="0"/>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Topics should be </w:t>
      </w:r>
      <w:r w:rsidRPr="003C1910">
        <w:rPr>
          <w:rFonts w:asciiTheme="minorHAnsi" w:hAnsiTheme="minorHAnsi" w:cs="Arial"/>
          <w:b/>
          <w:color w:val="000000"/>
          <w:szCs w:val="22"/>
          <w:lang w:val="en-GB"/>
        </w:rPr>
        <w:t>stand-alone and self-contained</w:t>
      </w:r>
      <w:r w:rsidRPr="003C1910">
        <w:rPr>
          <w:rFonts w:asciiTheme="minorHAnsi" w:hAnsiTheme="minorHAnsi" w:cs="Arial"/>
          <w:color w:val="000000"/>
          <w:szCs w:val="22"/>
          <w:lang w:val="en-GB"/>
        </w:rPr>
        <w:t xml:space="preserve"> (although with links between them) so that they can be used in a modular manner. </w:t>
      </w:r>
    </w:p>
    <w:p w14:paraId="1B4404C3" w14:textId="77777777" w:rsidR="00B84F2A" w:rsidRPr="003C1910" w:rsidRDefault="00AF6694" w:rsidP="00B84F2A">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Many DPAs indicated that much of their training was ad-hoc and adapted to audience need. </w:t>
      </w:r>
    </w:p>
    <w:p w14:paraId="4DA595E0" w14:textId="77777777" w:rsidR="00B84F2A" w:rsidRPr="003C1910" w:rsidRDefault="00B84F2A" w:rsidP="00B84F2A">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We should anticipate that trainers will use some of the STAR material, but not assume that they use all of it. </w:t>
      </w:r>
    </w:p>
    <w:p w14:paraId="6FB69D23" w14:textId="1B775FDE" w:rsidR="00AF6694" w:rsidRPr="003C1910" w:rsidRDefault="00B84F2A" w:rsidP="00B84F2A">
      <w:pPr>
        <w:pStyle w:val="NormalWeb"/>
        <w:numPr>
          <w:ilvl w:val="1"/>
          <w:numId w:val="26"/>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This means that repetition of information between material is acceptable (but should be consistent). </w:t>
      </w:r>
    </w:p>
    <w:p w14:paraId="2FA3F189" w14:textId="77777777" w:rsidR="00014EF5" w:rsidRPr="003C1910" w:rsidRDefault="00014EF5" w:rsidP="00014EF5">
      <w:pPr>
        <w:pStyle w:val="ListParagraph"/>
        <w:numPr>
          <w:ilvl w:val="0"/>
          <w:numId w:val="26"/>
        </w:numPr>
        <w:jc w:val="left"/>
        <w:rPr>
          <w:lang w:val="en-GB"/>
        </w:rPr>
      </w:pPr>
      <w:r w:rsidRPr="003C1910">
        <w:rPr>
          <w:rFonts w:cs="Arial"/>
          <w:color w:val="000000"/>
          <w:szCs w:val="22"/>
          <w:lang w:val="en-GB"/>
        </w:rPr>
        <w:t xml:space="preserve">Training material should </w:t>
      </w:r>
      <w:r w:rsidRPr="003C1910">
        <w:rPr>
          <w:rFonts w:cs="Arial"/>
          <w:b/>
          <w:color w:val="000000"/>
          <w:szCs w:val="22"/>
          <w:lang w:val="en-GB"/>
        </w:rPr>
        <w:t>acknowledge the STAR project and its funding</w:t>
      </w:r>
      <w:r w:rsidRPr="003C1910">
        <w:rPr>
          <w:rFonts w:cs="Arial"/>
          <w:color w:val="000000"/>
          <w:szCs w:val="22"/>
          <w:lang w:val="en-GB"/>
        </w:rPr>
        <w:t xml:space="preserve">. </w:t>
      </w:r>
    </w:p>
    <w:p w14:paraId="369311DD" w14:textId="2AA9E2C0" w:rsidR="00014EF5" w:rsidRPr="003C1910" w:rsidRDefault="00014EF5" w:rsidP="00014EF5">
      <w:pPr>
        <w:pStyle w:val="ListParagraph"/>
        <w:numPr>
          <w:ilvl w:val="1"/>
          <w:numId w:val="26"/>
        </w:numPr>
        <w:jc w:val="left"/>
        <w:rPr>
          <w:lang w:val="en-GB"/>
        </w:rPr>
      </w:pPr>
      <w:r w:rsidRPr="003C1910">
        <w:rPr>
          <w:rFonts w:cs="Arial"/>
          <w:color w:val="000000"/>
          <w:szCs w:val="22"/>
          <w:lang w:val="en-GB"/>
        </w:rPr>
        <w:t>(</w:t>
      </w:r>
      <w:r w:rsidR="00D033D0">
        <w:rPr>
          <w:rFonts w:cs="Arial"/>
          <w:color w:val="000000"/>
          <w:szCs w:val="22"/>
          <w:lang w:val="en-GB"/>
        </w:rPr>
        <w:t>“</w:t>
      </w:r>
      <w:r w:rsidRPr="003C1910">
        <w:rPr>
          <w:rFonts w:cs="Arial"/>
          <w:color w:val="000000"/>
          <w:szCs w:val="22"/>
          <w:lang w:val="en-GB"/>
        </w:rPr>
        <w:t xml:space="preserve">This material was developed by the STAR project, </w:t>
      </w:r>
      <w:hyperlink r:id="rId27" w:history="1">
        <w:r w:rsidRPr="003C1910">
          <w:rPr>
            <w:rStyle w:val="Hyperlink"/>
            <w:rFonts w:cs="Arial"/>
            <w:szCs w:val="22"/>
            <w:lang w:val="en-GB"/>
          </w:rPr>
          <w:t>www.project-star.eu</w:t>
        </w:r>
      </w:hyperlink>
      <w:r w:rsidRPr="003C1910">
        <w:rPr>
          <w:rFonts w:cs="Arial"/>
          <w:color w:val="000000"/>
          <w:szCs w:val="22"/>
          <w:lang w:val="en-GB"/>
        </w:rPr>
        <w:t xml:space="preserve">.  </w:t>
      </w:r>
      <w:r w:rsidRPr="003C1910">
        <w:rPr>
          <w:lang w:val="en-GB"/>
        </w:rPr>
        <w:t>(</w:t>
      </w:r>
      <w:r w:rsidRPr="003C1910">
        <w:rPr>
          <w:i/>
          <w:lang w:val="en-GB"/>
        </w:rPr>
        <w:t>Support Training Activities on the data protection Reform</w:t>
      </w:r>
      <w:r w:rsidRPr="003C1910">
        <w:rPr>
          <w:lang w:val="en-GB"/>
        </w:rPr>
        <w:t>; 2017-2019) and was co-funded by the European Union under the Rights, Equality and Citizenship Programme 2014-2020 (REC-RDAT-TRAI-AG-2016) under Grant Agreement No. 769138.</w:t>
      </w:r>
      <w:r w:rsidR="00D033D0">
        <w:rPr>
          <w:lang w:val="en-GB"/>
        </w:rPr>
        <w:t>”</w:t>
      </w:r>
      <w:r w:rsidRPr="003C1910">
        <w:rPr>
          <w:lang w:val="en-GB"/>
        </w:rPr>
        <w:t>)</w:t>
      </w:r>
    </w:p>
    <w:p w14:paraId="2655576A" w14:textId="45339056" w:rsidR="00EC206F" w:rsidRPr="003C1910" w:rsidRDefault="00014EF5" w:rsidP="00EC206F">
      <w:pPr>
        <w:pStyle w:val="ListParagraph"/>
        <w:numPr>
          <w:ilvl w:val="1"/>
          <w:numId w:val="26"/>
        </w:numPr>
        <w:spacing w:before="100" w:beforeAutospacing="1" w:after="100" w:afterAutospacing="1"/>
        <w:jc w:val="left"/>
        <w:textAlignment w:val="baseline"/>
        <w:rPr>
          <w:rFonts w:cs="Arial"/>
          <w:color w:val="000000"/>
          <w:szCs w:val="22"/>
          <w:lang w:val="en-GB"/>
        </w:rPr>
      </w:pPr>
      <w:r w:rsidRPr="003C1910">
        <w:rPr>
          <w:lang w:val="en-GB"/>
        </w:rPr>
        <w:t xml:space="preserve">Guidance for the use and display of the European Union flag in relation to this acknowledgement can be found at </w:t>
      </w:r>
      <w:hyperlink r:id="rId28" w:history="1">
        <w:r w:rsidR="00EC206F" w:rsidRPr="003C1910">
          <w:rPr>
            <w:rStyle w:val="Hyperlink"/>
            <w:lang w:val="en-GB"/>
          </w:rPr>
          <w:t>https://ec.europa.eu/easme/en/communication-toolkit</w:t>
        </w:r>
      </w:hyperlink>
    </w:p>
    <w:p w14:paraId="1F3FC986" w14:textId="3F366F37" w:rsidR="00EC206F" w:rsidRPr="003C1910" w:rsidRDefault="00EC206F" w:rsidP="006E6E50">
      <w:pPr>
        <w:pStyle w:val="ListParagraph"/>
        <w:numPr>
          <w:ilvl w:val="0"/>
          <w:numId w:val="26"/>
        </w:numPr>
        <w:spacing w:before="100" w:beforeAutospacing="1" w:after="100" w:afterAutospacing="1"/>
        <w:jc w:val="left"/>
        <w:textAlignment w:val="baseline"/>
        <w:rPr>
          <w:rFonts w:cs="Arial"/>
          <w:color w:val="000000"/>
          <w:szCs w:val="22"/>
          <w:lang w:val="en-GB"/>
        </w:rPr>
      </w:pPr>
      <w:r w:rsidRPr="003C1910">
        <w:rPr>
          <w:rFonts w:cs="Arial"/>
          <w:color w:val="000000"/>
          <w:szCs w:val="22"/>
          <w:lang w:val="en-GB"/>
        </w:rPr>
        <w:t xml:space="preserve">STAR materials should comply with </w:t>
      </w:r>
      <w:r w:rsidRPr="003C1910">
        <w:rPr>
          <w:rFonts w:cs="Arial"/>
          <w:b/>
          <w:color w:val="000000"/>
          <w:szCs w:val="22"/>
          <w:lang w:val="en-GB"/>
        </w:rPr>
        <w:t>accessibility</w:t>
      </w:r>
      <w:r w:rsidRPr="003C1910">
        <w:rPr>
          <w:rFonts w:cs="Arial"/>
          <w:color w:val="000000"/>
          <w:szCs w:val="22"/>
          <w:lang w:val="en-GB"/>
        </w:rPr>
        <w:t xml:space="preserve"> guidelines and best practices. Including for particular formats in which they are presented. </w:t>
      </w:r>
    </w:p>
    <w:p w14:paraId="6D4D305F" w14:textId="77777777" w:rsidR="00EC206F" w:rsidRPr="003C1910" w:rsidRDefault="00EC206F" w:rsidP="00EC206F">
      <w:pPr>
        <w:numPr>
          <w:ilvl w:val="1"/>
          <w:numId w:val="26"/>
        </w:numPr>
        <w:spacing w:before="100" w:beforeAutospacing="1" w:after="100" w:afterAutospacing="1"/>
        <w:jc w:val="left"/>
        <w:textAlignment w:val="baseline"/>
        <w:rPr>
          <w:rFonts w:cs="Arial"/>
          <w:color w:val="000000"/>
          <w:szCs w:val="22"/>
          <w:lang w:val="en-GB"/>
        </w:rPr>
      </w:pPr>
      <w:r w:rsidRPr="003C1910">
        <w:rPr>
          <w:rFonts w:cs="Arial"/>
          <w:color w:val="000000"/>
          <w:szCs w:val="22"/>
          <w:lang w:val="en-GB"/>
        </w:rPr>
        <w:t xml:space="preserve">Users should not be prevented from making use of STAR materials because of visual or other disabilities. </w:t>
      </w:r>
    </w:p>
    <w:p w14:paraId="4CBA08E2" w14:textId="74F34299" w:rsidR="00AF6694" w:rsidRPr="003C1910" w:rsidRDefault="00EC206F" w:rsidP="00EC206F">
      <w:pPr>
        <w:numPr>
          <w:ilvl w:val="1"/>
          <w:numId w:val="26"/>
        </w:numPr>
        <w:spacing w:before="100" w:beforeAutospacing="1" w:after="100" w:afterAutospacing="1"/>
        <w:jc w:val="left"/>
        <w:textAlignment w:val="baseline"/>
        <w:rPr>
          <w:rFonts w:cs="Arial"/>
          <w:color w:val="000000"/>
          <w:szCs w:val="22"/>
          <w:lang w:val="en-GB"/>
        </w:rPr>
      </w:pPr>
      <w:r w:rsidRPr="003C1910">
        <w:rPr>
          <w:rFonts w:cs="Arial"/>
          <w:color w:val="000000"/>
          <w:szCs w:val="22"/>
          <w:lang w:val="en-GB"/>
        </w:rPr>
        <w:t xml:space="preserve">DPAs and DPOs should be assisted in the production of accessible training materials for their trainees, as currently this is noticeably lacking. </w:t>
      </w:r>
    </w:p>
    <w:p w14:paraId="334EEB88" w14:textId="1039B61A" w:rsidR="005D076F" w:rsidRPr="003C1910" w:rsidRDefault="005D076F" w:rsidP="005D076F">
      <w:pPr>
        <w:numPr>
          <w:ilvl w:val="0"/>
          <w:numId w:val="26"/>
        </w:numPr>
        <w:spacing w:before="100" w:beforeAutospacing="1" w:after="100" w:afterAutospacing="1"/>
        <w:jc w:val="left"/>
        <w:textAlignment w:val="baseline"/>
        <w:rPr>
          <w:rFonts w:cs="Arial"/>
          <w:color w:val="000000"/>
          <w:szCs w:val="22"/>
          <w:lang w:val="en-GB"/>
        </w:rPr>
      </w:pPr>
      <w:r w:rsidRPr="003C1910">
        <w:rPr>
          <w:rFonts w:cs="Arial"/>
          <w:color w:val="000000"/>
          <w:szCs w:val="22"/>
          <w:lang w:val="en-GB"/>
        </w:rPr>
        <w:t xml:space="preserve">STAR material should be compatible with the free-to-use versions and open source equivalents of presentation and document software as well as with the commercial market leaders. </w:t>
      </w:r>
    </w:p>
    <w:p w14:paraId="282A55E4" w14:textId="77777777" w:rsidR="00EC206F" w:rsidRPr="003C1910" w:rsidRDefault="00EC206F" w:rsidP="00EC206F">
      <w:pPr>
        <w:spacing w:before="100" w:beforeAutospacing="1" w:after="100" w:afterAutospacing="1"/>
        <w:ind w:left="720"/>
        <w:jc w:val="left"/>
        <w:textAlignment w:val="baseline"/>
        <w:rPr>
          <w:rFonts w:cs="Arial"/>
          <w:color w:val="000000"/>
          <w:szCs w:val="22"/>
          <w:lang w:val="en-GB"/>
        </w:rPr>
      </w:pPr>
    </w:p>
    <w:p w14:paraId="17F39FDE" w14:textId="77777777" w:rsidR="00AF6694" w:rsidRPr="003C1910" w:rsidRDefault="00AF6694" w:rsidP="00AF6694">
      <w:pPr>
        <w:rPr>
          <w:rFonts w:cs="Times New Roman"/>
          <w:sz w:val="24"/>
          <w:lang w:val="en-GB"/>
        </w:rPr>
      </w:pPr>
    </w:p>
    <w:p w14:paraId="75051A51" w14:textId="77777777" w:rsidR="00975FB6" w:rsidRPr="003C1910" w:rsidRDefault="00975FB6">
      <w:pPr>
        <w:spacing w:after="0"/>
        <w:jc w:val="left"/>
        <w:rPr>
          <w:rFonts w:eastAsiaTheme="majorEastAsia" w:cstheme="majorBidi"/>
          <w:b/>
          <w:bCs/>
          <w:color w:val="17365D" w:themeColor="text2" w:themeShade="BF"/>
          <w:sz w:val="32"/>
          <w:szCs w:val="32"/>
          <w:lang w:val="en-GB"/>
        </w:rPr>
      </w:pPr>
      <w:r w:rsidRPr="003C1910">
        <w:rPr>
          <w:lang w:val="en-GB"/>
        </w:rPr>
        <w:br w:type="page"/>
      </w:r>
    </w:p>
    <w:p w14:paraId="7848D259" w14:textId="0813A748" w:rsidR="00AF6694" w:rsidRPr="003C1910" w:rsidRDefault="00AF6694" w:rsidP="00D66852">
      <w:pPr>
        <w:pStyle w:val="Heading1"/>
      </w:pPr>
      <w:bookmarkStart w:id="12" w:name="_Toc513797484"/>
      <w:r w:rsidRPr="003C1910">
        <w:lastRenderedPageBreak/>
        <w:t>Seminars topic list</w:t>
      </w:r>
      <w:bookmarkEnd w:id="12"/>
    </w:p>
    <w:p w14:paraId="6B363365" w14:textId="265C27C1" w:rsidR="00CE3505" w:rsidRPr="003C1910" w:rsidRDefault="00CE3505" w:rsidP="00AF6694">
      <w:pPr>
        <w:rPr>
          <w:lang w:val="en-GB"/>
        </w:rPr>
      </w:pPr>
      <w:r w:rsidRPr="003C1910">
        <w:rPr>
          <w:lang w:val="en-GB"/>
        </w:rPr>
        <w:t xml:space="preserve">The following section sets out the ten topics upon which STAR will develop seminar training materials. This list was compiled by comparing the prioritized lists of topics from data protection authorities and other training stakeholders (taking high priorities from both, as well as topics that occurred on both lists) identifying </w:t>
      </w:r>
      <w:r w:rsidR="00D033D0">
        <w:rPr>
          <w:lang w:val="en-GB"/>
        </w:rPr>
        <w:t>“</w:t>
      </w:r>
      <w:r w:rsidRPr="003C1910">
        <w:rPr>
          <w:lang w:val="en-GB"/>
        </w:rPr>
        <w:t>must-have</w:t>
      </w:r>
      <w:r w:rsidR="00D033D0">
        <w:rPr>
          <w:lang w:val="en-GB"/>
        </w:rPr>
        <w:t>”</w:t>
      </w:r>
      <w:r w:rsidRPr="003C1910">
        <w:rPr>
          <w:lang w:val="en-GB"/>
        </w:rPr>
        <w:t xml:space="preserve"> topics on a logical basis. A preliminary list was then discussed and revised </w:t>
      </w:r>
      <w:r w:rsidR="00534807" w:rsidRPr="003C1910">
        <w:rPr>
          <w:lang w:val="en-GB"/>
        </w:rPr>
        <w:t>by all partners in</w:t>
      </w:r>
      <w:r w:rsidRPr="003C1910">
        <w:rPr>
          <w:lang w:val="en-GB"/>
        </w:rPr>
        <w:t xml:space="preserve"> the STAR consortium</w:t>
      </w:r>
      <w:r w:rsidR="00534807" w:rsidRPr="003C1910">
        <w:rPr>
          <w:lang w:val="en-GB"/>
        </w:rPr>
        <w:t xml:space="preserve">. The result is a list of modular topics which can be drawn upon to build a larger course on the GDPR. </w:t>
      </w:r>
    </w:p>
    <w:p w14:paraId="709C5378" w14:textId="135A5E40" w:rsidR="00AF6694" w:rsidRPr="003C1910" w:rsidRDefault="00AF6694" w:rsidP="00975FB6">
      <w:pPr>
        <w:pStyle w:val="Heading2"/>
        <w:rPr>
          <w:lang w:val="en-GB"/>
        </w:rPr>
      </w:pPr>
      <w:bookmarkStart w:id="13" w:name="_Toc513797485"/>
      <w:r w:rsidRPr="003C1910">
        <w:rPr>
          <w:lang w:val="en-GB"/>
        </w:rPr>
        <w:t>Topic 1: Introduction to the European</w:t>
      </w:r>
      <w:r w:rsidR="00CB5802">
        <w:rPr>
          <w:lang w:val="en-GB"/>
        </w:rPr>
        <w:t xml:space="preserve"> Union</w:t>
      </w:r>
      <w:r w:rsidRPr="003C1910">
        <w:rPr>
          <w:lang w:val="en-GB"/>
        </w:rPr>
        <w:t xml:space="preserve"> Data Protection</w:t>
      </w:r>
      <w:bookmarkEnd w:id="13"/>
      <w:r w:rsidR="00CB5802">
        <w:rPr>
          <w:lang w:val="en-GB"/>
        </w:rPr>
        <w:t xml:space="preserve"> Regime</w:t>
      </w:r>
    </w:p>
    <w:p w14:paraId="383B1AB4" w14:textId="74E7AC76"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bCs/>
          <w:color w:val="000000"/>
          <w:szCs w:val="22"/>
          <w:lang w:val="en-GB"/>
        </w:rPr>
        <w:t xml:space="preserve">Summary: </w:t>
      </w:r>
      <w:r w:rsidR="00534807" w:rsidRPr="003C1910">
        <w:rPr>
          <w:rFonts w:asciiTheme="minorHAnsi" w:hAnsiTheme="minorHAnsi" w:cs="Arial"/>
          <w:b/>
          <w:bCs/>
          <w:color w:val="000000"/>
          <w:szCs w:val="22"/>
          <w:lang w:val="en-GB"/>
        </w:rPr>
        <w:t xml:space="preserve"> </w:t>
      </w:r>
      <w:r w:rsidR="00534807" w:rsidRPr="003C1910">
        <w:rPr>
          <w:rFonts w:asciiTheme="minorHAnsi" w:hAnsiTheme="minorHAnsi" w:cs="Arial"/>
          <w:bCs/>
          <w:color w:val="000000"/>
          <w:szCs w:val="22"/>
          <w:lang w:val="en-GB"/>
        </w:rPr>
        <w:t xml:space="preserve">An introduction to </w:t>
      </w:r>
      <w:r w:rsidR="00CB5802">
        <w:rPr>
          <w:rFonts w:asciiTheme="minorHAnsi" w:hAnsiTheme="minorHAnsi" w:cs="Arial"/>
          <w:bCs/>
          <w:color w:val="000000"/>
          <w:szCs w:val="22"/>
          <w:lang w:val="en-GB"/>
        </w:rPr>
        <w:t>EU</w:t>
      </w:r>
      <w:r w:rsidR="00CB5802" w:rsidRPr="003C1910">
        <w:rPr>
          <w:rFonts w:asciiTheme="minorHAnsi" w:hAnsiTheme="minorHAnsi" w:cs="Arial"/>
          <w:bCs/>
          <w:color w:val="000000"/>
          <w:szCs w:val="22"/>
          <w:lang w:val="en-GB"/>
        </w:rPr>
        <w:t xml:space="preserve"> </w:t>
      </w:r>
      <w:r w:rsidR="00534807" w:rsidRPr="003C1910">
        <w:rPr>
          <w:rFonts w:asciiTheme="minorHAnsi" w:hAnsiTheme="minorHAnsi" w:cs="Arial"/>
          <w:bCs/>
          <w:color w:val="000000"/>
          <w:szCs w:val="22"/>
          <w:lang w:val="en-GB"/>
        </w:rPr>
        <w:t>Data Protection</w:t>
      </w:r>
      <w:r w:rsidR="004B254D" w:rsidRPr="003C1910">
        <w:rPr>
          <w:rFonts w:asciiTheme="minorHAnsi" w:hAnsiTheme="minorHAnsi" w:cs="Arial"/>
          <w:bCs/>
          <w:color w:val="000000"/>
          <w:szCs w:val="22"/>
          <w:lang w:val="en-GB"/>
        </w:rPr>
        <w:t xml:space="preserve"> focused around the GDPR,</w:t>
      </w:r>
      <w:r w:rsidR="00534807" w:rsidRPr="003C1910">
        <w:rPr>
          <w:rFonts w:asciiTheme="minorHAnsi" w:hAnsiTheme="minorHAnsi" w:cs="Arial"/>
          <w:bCs/>
          <w:color w:val="000000"/>
          <w:szCs w:val="22"/>
          <w:lang w:val="en-GB"/>
        </w:rPr>
        <w:t xml:space="preserve"> </w:t>
      </w:r>
      <w:proofErr w:type="gramStart"/>
      <w:r w:rsidR="00534807" w:rsidRPr="003C1910">
        <w:rPr>
          <w:rFonts w:asciiTheme="minorHAnsi" w:hAnsiTheme="minorHAnsi" w:cs="Arial"/>
          <w:bCs/>
          <w:color w:val="000000"/>
          <w:szCs w:val="22"/>
          <w:lang w:val="en-GB"/>
        </w:rPr>
        <w:t xml:space="preserve">assuming </w:t>
      </w:r>
      <w:r w:rsidR="00CB5802">
        <w:rPr>
          <w:rFonts w:asciiTheme="minorHAnsi" w:hAnsiTheme="minorHAnsi" w:cs="Arial"/>
          <w:bCs/>
          <w:color w:val="000000"/>
          <w:szCs w:val="22"/>
          <w:lang w:val="en-GB"/>
        </w:rPr>
        <w:t>that</w:t>
      </w:r>
      <w:proofErr w:type="gramEnd"/>
      <w:r w:rsidR="00CB5802">
        <w:rPr>
          <w:rFonts w:asciiTheme="minorHAnsi" w:hAnsiTheme="minorHAnsi" w:cs="Arial"/>
          <w:bCs/>
          <w:color w:val="000000"/>
          <w:szCs w:val="22"/>
          <w:lang w:val="en-GB"/>
        </w:rPr>
        <w:t xml:space="preserve"> recipients have </w:t>
      </w:r>
      <w:r w:rsidR="00534807" w:rsidRPr="003C1910">
        <w:rPr>
          <w:rFonts w:asciiTheme="minorHAnsi" w:hAnsiTheme="minorHAnsi" w:cs="Arial"/>
          <w:bCs/>
          <w:color w:val="000000"/>
          <w:szCs w:val="22"/>
          <w:lang w:val="en-GB"/>
        </w:rPr>
        <w:t>no previous knowledge in this area. It would provide a g</w:t>
      </w:r>
      <w:r w:rsidRPr="003C1910">
        <w:rPr>
          <w:rFonts w:asciiTheme="minorHAnsi" w:hAnsiTheme="minorHAnsi" w:cs="Arial"/>
          <w:color w:val="000000"/>
          <w:szCs w:val="22"/>
          <w:lang w:val="en-GB"/>
        </w:rPr>
        <w:t>eneral overview</w:t>
      </w:r>
      <w:r w:rsidR="00534807" w:rsidRPr="003C1910">
        <w:rPr>
          <w:rFonts w:asciiTheme="minorHAnsi" w:hAnsiTheme="minorHAnsi" w:cs="Arial"/>
          <w:color w:val="000000"/>
          <w:szCs w:val="22"/>
          <w:lang w:val="en-GB"/>
        </w:rPr>
        <w:t xml:space="preserve"> of the field and introduce key legislation</w:t>
      </w:r>
      <w:r w:rsidRPr="003C1910">
        <w:rPr>
          <w:rFonts w:asciiTheme="minorHAnsi" w:hAnsiTheme="minorHAnsi" w:cs="Arial"/>
          <w:color w:val="000000"/>
          <w:szCs w:val="22"/>
          <w:lang w:val="en-GB"/>
        </w:rPr>
        <w:t>, definitions</w:t>
      </w:r>
      <w:r w:rsidR="00CC61AE">
        <w:rPr>
          <w:rFonts w:asciiTheme="minorHAnsi" w:hAnsiTheme="minorHAnsi" w:cs="Arial"/>
          <w:color w:val="000000"/>
          <w:szCs w:val="22"/>
          <w:lang w:val="en-GB"/>
        </w:rPr>
        <w:t>, as well as an overview of the GDPR</w:t>
      </w:r>
      <w:r w:rsidRPr="003C1910">
        <w:rPr>
          <w:rFonts w:asciiTheme="minorHAnsi" w:hAnsiTheme="minorHAnsi" w:cs="Arial"/>
          <w:color w:val="000000"/>
          <w:szCs w:val="22"/>
          <w:lang w:val="en-GB"/>
        </w:rPr>
        <w:t xml:space="preserve"> concepts</w:t>
      </w:r>
      <w:r w:rsidR="00CC61AE">
        <w:rPr>
          <w:rFonts w:asciiTheme="minorHAnsi" w:hAnsiTheme="minorHAnsi" w:cs="Arial"/>
          <w:color w:val="000000"/>
          <w:szCs w:val="22"/>
          <w:lang w:val="en-GB"/>
        </w:rPr>
        <w:t xml:space="preserve"> and its compliance requirements in terms of </w:t>
      </w:r>
      <w:proofErr w:type="gramStart"/>
      <w:r w:rsidR="00CC61AE">
        <w:rPr>
          <w:rFonts w:asciiTheme="minorHAnsi" w:hAnsiTheme="minorHAnsi" w:cs="Arial"/>
          <w:color w:val="000000"/>
          <w:szCs w:val="22"/>
          <w:lang w:val="en-GB"/>
        </w:rPr>
        <w:t xml:space="preserve">actions </w:t>
      </w:r>
      <w:r w:rsidRPr="003C1910">
        <w:rPr>
          <w:rFonts w:asciiTheme="minorHAnsi" w:hAnsiTheme="minorHAnsi" w:cs="Arial"/>
          <w:color w:val="000000"/>
          <w:szCs w:val="22"/>
          <w:lang w:val="en-GB"/>
        </w:rPr>
        <w:t xml:space="preserve"> </w:t>
      </w:r>
      <w:r w:rsidR="00675C02">
        <w:rPr>
          <w:rFonts w:asciiTheme="minorHAnsi" w:hAnsiTheme="minorHAnsi" w:cs="Arial"/>
          <w:color w:val="000000"/>
          <w:szCs w:val="22"/>
          <w:lang w:val="en-GB"/>
        </w:rPr>
        <w:t>to</w:t>
      </w:r>
      <w:proofErr w:type="gramEnd"/>
      <w:r w:rsidR="00CC61AE">
        <w:rPr>
          <w:rFonts w:asciiTheme="minorHAnsi" w:hAnsiTheme="minorHAnsi" w:cs="Arial"/>
          <w:color w:val="000000"/>
          <w:szCs w:val="22"/>
          <w:lang w:val="en-GB"/>
        </w:rPr>
        <w:t xml:space="preserve"> be undertaken.</w:t>
      </w:r>
    </w:p>
    <w:p w14:paraId="016A49C2" w14:textId="77777777" w:rsidR="00534807" w:rsidRPr="003C1910" w:rsidRDefault="00534807" w:rsidP="00AF6694">
      <w:pPr>
        <w:pStyle w:val="NormalWeb"/>
        <w:spacing w:before="0" w:beforeAutospacing="0" w:after="0" w:afterAutospacing="0"/>
        <w:rPr>
          <w:rFonts w:asciiTheme="minorHAnsi" w:hAnsiTheme="minorHAnsi" w:cs="Arial"/>
          <w:b/>
          <w:bCs/>
          <w:color w:val="000000"/>
          <w:szCs w:val="22"/>
          <w:lang w:val="en-GB"/>
        </w:rPr>
      </w:pPr>
    </w:p>
    <w:p w14:paraId="4E7C4BD3" w14:textId="76D01B55"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bCs/>
          <w:color w:val="000000"/>
          <w:szCs w:val="22"/>
          <w:lang w:val="en-GB"/>
        </w:rPr>
        <w:t xml:space="preserve">Includes subtopics: </w:t>
      </w:r>
      <w:r w:rsidRPr="003C1910">
        <w:rPr>
          <w:rFonts w:asciiTheme="minorHAnsi" w:hAnsiTheme="minorHAnsi" w:cs="Arial"/>
          <w:color w:val="000000"/>
          <w:szCs w:val="22"/>
          <w:lang w:val="en-GB"/>
        </w:rPr>
        <w:t>Basics of GDPR,</w:t>
      </w:r>
      <w:r w:rsidRPr="003C1910">
        <w:rPr>
          <w:rFonts w:asciiTheme="minorHAnsi" w:hAnsiTheme="minorHAnsi" w:cs="Arial"/>
          <w:b/>
          <w:bCs/>
          <w:color w:val="000000"/>
          <w:szCs w:val="22"/>
          <w:lang w:val="en-GB"/>
        </w:rPr>
        <w:t xml:space="preserve"> </w:t>
      </w:r>
      <w:r w:rsidRPr="003C1910">
        <w:rPr>
          <w:rFonts w:asciiTheme="minorHAnsi" w:hAnsiTheme="minorHAnsi" w:cs="Arial"/>
          <w:color w:val="000000"/>
          <w:szCs w:val="22"/>
          <w:lang w:val="en-GB"/>
        </w:rPr>
        <w:t>including legal framework and key concepts</w:t>
      </w:r>
      <w:r w:rsidR="00CC61AE">
        <w:rPr>
          <w:rFonts w:asciiTheme="minorHAnsi" w:hAnsiTheme="minorHAnsi" w:cs="Arial"/>
          <w:color w:val="000000"/>
          <w:szCs w:val="22"/>
          <w:lang w:val="en-GB"/>
        </w:rPr>
        <w:t>, overview of operative requirements</w:t>
      </w:r>
      <w:r w:rsidR="00454AE9">
        <w:rPr>
          <w:rFonts w:asciiTheme="minorHAnsi" w:hAnsiTheme="minorHAnsi" w:cs="Arial"/>
          <w:color w:val="000000"/>
          <w:szCs w:val="22"/>
          <w:lang w:val="en-GB"/>
        </w:rPr>
        <w:t>.</w:t>
      </w:r>
    </w:p>
    <w:p w14:paraId="359B7F58" w14:textId="77777777" w:rsidR="00534807" w:rsidRPr="003C1910" w:rsidRDefault="00534807" w:rsidP="00AF6694">
      <w:pPr>
        <w:pStyle w:val="NormalWeb"/>
        <w:spacing w:before="0" w:beforeAutospacing="0" w:after="0" w:afterAutospacing="0"/>
        <w:rPr>
          <w:rFonts w:asciiTheme="minorHAnsi" w:hAnsiTheme="minorHAnsi" w:cs="Arial"/>
          <w:b/>
          <w:bCs/>
          <w:color w:val="000000"/>
          <w:szCs w:val="22"/>
          <w:lang w:val="en-GB"/>
        </w:rPr>
      </w:pPr>
    </w:p>
    <w:p w14:paraId="1175AEBA" w14:textId="2D3885E9"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bCs/>
          <w:color w:val="000000"/>
          <w:szCs w:val="22"/>
          <w:lang w:val="en-GB"/>
        </w:rPr>
        <w:t>Rationale for inclusion:</w:t>
      </w:r>
      <w:r w:rsidRPr="003C1910">
        <w:rPr>
          <w:rFonts w:asciiTheme="minorHAnsi" w:hAnsiTheme="minorHAnsi" w:cs="Arial"/>
          <w:color w:val="000000"/>
          <w:szCs w:val="22"/>
          <w:lang w:val="en-GB"/>
        </w:rPr>
        <w:t xml:space="preserve"> Although many DPAs have basic guidance on the GDPR and </w:t>
      </w:r>
      <w:r w:rsidR="00534807" w:rsidRPr="003C1910">
        <w:rPr>
          <w:rFonts w:asciiTheme="minorHAnsi" w:hAnsiTheme="minorHAnsi" w:cs="Arial"/>
          <w:color w:val="000000"/>
          <w:szCs w:val="22"/>
          <w:lang w:val="en-GB"/>
        </w:rPr>
        <w:t xml:space="preserve">other </w:t>
      </w:r>
      <w:r w:rsidRPr="003C1910">
        <w:rPr>
          <w:rFonts w:asciiTheme="minorHAnsi" w:hAnsiTheme="minorHAnsi" w:cs="Arial"/>
          <w:color w:val="000000"/>
          <w:szCs w:val="22"/>
          <w:lang w:val="en-GB"/>
        </w:rPr>
        <w:t>introductory presentations on the GDPR are widely available, a basic introductory overview was seen as a requirement by many interviewees. The quality of some of these existing offerings is mixed. A topic on the basics of GDPR can be used to start sessions that then move to other specialist areas, and give a holistic overview. Trainers do not want to do away with the general elements because they feel it is an important precursor to specialised training, and for holistic understanding.</w:t>
      </w:r>
    </w:p>
    <w:p w14:paraId="6ABCDD93" w14:textId="77777777" w:rsidR="00AF6694" w:rsidRPr="003C1910" w:rsidRDefault="00AF6694" w:rsidP="00AF6694">
      <w:pPr>
        <w:rPr>
          <w:lang w:val="en-GB"/>
        </w:rPr>
      </w:pPr>
    </w:p>
    <w:p w14:paraId="6A8D3F98" w14:textId="77777777"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bCs/>
          <w:color w:val="000000"/>
          <w:szCs w:val="22"/>
          <w:lang w:val="en-GB"/>
        </w:rPr>
        <w:t>Additional considerations for this topic</w:t>
      </w:r>
      <w:r w:rsidRPr="003C1910">
        <w:rPr>
          <w:rFonts w:asciiTheme="minorHAnsi" w:hAnsiTheme="minorHAnsi" w:cs="Arial"/>
          <w:color w:val="000000"/>
          <w:szCs w:val="22"/>
          <w:lang w:val="en-GB"/>
        </w:rPr>
        <w:t xml:space="preserve">: </w:t>
      </w:r>
    </w:p>
    <w:p w14:paraId="47CD9956" w14:textId="77777777" w:rsidR="00AF6694" w:rsidRPr="003C1910" w:rsidRDefault="00AF6694" w:rsidP="00AF6694">
      <w:pPr>
        <w:pStyle w:val="NormalWeb"/>
        <w:numPr>
          <w:ilvl w:val="0"/>
          <w:numId w:val="28"/>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This topic may be delivered at a more introductory level that the other topics and to a more diverse audience of non-specialists.</w:t>
      </w:r>
    </w:p>
    <w:p w14:paraId="35806065" w14:textId="77777777" w:rsidR="00AF6694" w:rsidRPr="003C1910" w:rsidRDefault="00AF6694" w:rsidP="00AF6694">
      <w:pPr>
        <w:pStyle w:val="NormalWeb"/>
        <w:numPr>
          <w:ilvl w:val="0"/>
          <w:numId w:val="28"/>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The general training may be adapted to include specific issues (from other topics) at higher level of detail because the trainer has identified these topics as a priority for that organisation (e.g. going into more detail on data breach identification and notification procedures).</w:t>
      </w:r>
    </w:p>
    <w:p w14:paraId="18FEC89A" w14:textId="28B57E72" w:rsidR="00AF6694" w:rsidRDefault="00CE3505" w:rsidP="00AF6694">
      <w:pPr>
        <w:pStyle w:val="NormalWeb"/>
        <w:numPr>
          <w:ilvl w:val="0"/>
          <w:numId w:val="28"/>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This topic is a strong candidate for an introductory webinar and </w:t>
      </w:r>
      <w:r w:rsidR="00096CE8">
        <w:rPr>
          <w:rFonts w:asciiTheme="minorHAnsi" w:hAnsiTheme="minorHAnsi" w:cs="Arial"/>
          <w:color w:val="000000"/>
          <w:szCs w:val="22"/>
          <w:lang w:val="en-GB"/>
        </w:rPr>
        <w:t xml:space="preserve">will also be important for the summary document </w:t>
      </w:r>
      <w:r w:rsidRPr="003C1910">
        <w:rPr>
          <w:rFonts w:asciiTheme="minorHAnsi" w:hAnsiTheme="minorHAnsi" w:cs="Arial"/>
          <w:color w:val="000000"/>
          <w:szCs w:val="22"/>
          <w:lang w:val="en-GB"/>
        </w:rPr>
        <w:t>also for the introductory training handbook (sections 4.2 and 4.</w:t>
      </w:r>
      <w:r w:rsidR="00096CE8">
        <w:rPr>
          <w:rFonts w:asciiTheme="minorHAnsi" w:hAnsiTheme="minorHAnsi" w:cs="Arial"/>
          <w:color w:val="000000"/>
          <w:szCs w:val="22"/>
          <w:lang w:val="en-GB"/>
        </w:rPr>
        <w:t>5</w:t>
      </w:r>
      <w:r w:rsidR="00096CE8"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below). </w:t>
      </w:r>
      <w:r w:rsidR="00AF6694" w:rsidRPr="003C1910">
        <w:rPr>
          <w:rFonts w:asciiTheme="minorHAnsi" w:hAnsiTheme="minorHAnsi" w:cs="Arial"/>
          <w:color w:val="000000"/>
          <w:szCs w:val="22"/>
          <w:lang w:val="en-GB"/>
        </w:rPr>
        <w:t xml:space="preserve"> </w:t>
      </w:r>
    </w:p>
    <w:p w14:paraId="2892C0FC" w14:textId="04C2C534" w:rsidR="00F70593" w:rsidRPr="003C1910" w:rsidRDefault="00F70593" w:rsidP="00AF6694">
      <w:pPr>
        <w:pStyle w:val="NormalWeb"/>
        <w:numPr>
          <w:ilvl w:val="0"/>
          <w:numId w:val="28"/>
        </w:numPr>
        <w:spacing w:before="0" w:beforeAutospacing="0" w:after="0" w:afterAutospacing="0"/>
        <w:textAlignment w:val="baseline"/>
        <w:rPr>
          <w:rFonts w:asciiTheme="minorHAnsi" w:hAnsiTheme="minorHAnsi" w:cs="Arial"/>
          <w:color w:val="000000"/>
          <w:szCs w:val="22"/>
          <w:lang w:val="en-GB"/>
        </w:rPr>
      </w:pPr>
      <w:r>
        <w:rPr>
          <w:rFonts w:asciiTheme="minorHAnsi" w:hAnsiTheme="minorHAnsi" w:cs="Arial"/>
          <w:color w:val="000000"/>
          <w:szCs w:val="22"/>
          <w:lang w:val="en-GB"/>
        </w:rPr>
        <w:t>If delivered in class, this training could last about one day.</w:t>
      </w:r>
    </w:p>
    <w:p w14:paraId="0162817C" w14:textId="77777777" w:rsidR="00AF6694" w:rsidRPr="003C1910" w:rsidRDefault="00AF6694" w:rsidP="00AF6694">
      <w:pPr>
        <w:rPr>
          <w:rFonts w:ascii="Times New Roman" w:hAnsi="Times New Roman" w:cs="Times New Roman"/>
          <w:sz w:val="24"/>
          <w:lang w:val="en-GB"/>
        </w:rPr>
      </w:pPr>
    </w:p>
    <w:p w14:paraId="3B0E14BD" w14:textId="77777777" w:rsidR="00AF6694" w:rsidRPr="003C1910" w:rsidRDefault="00AF6694" w:rsidP="00975FB6">
      <w:pPr>
        <w:pStyle w:val="Heading2"/>
        <w:rPr>
          <w:lang w:val="en-GB"/>
        </w:rPr>
      </w:pPr>
      <w:bookmarkStart w:id="14" w:name="_Toc513797486"/>
      <w:r w:rsidRPr="003C1910">
        <w:rPr>
          <w:lang w:val="en-GB"/>
        </w:rPr>
        <w:t>Topic 2: Purposes and legal grounds for processing personal data</w:t>
      </w:r>
      <w:bookmarkEnd w:id="14"/>
    </w:p>
    <w:p w14:paraId="263E7453" w14:textId="190BCA36" w:rsidR="00AF6694" w:rsidRPr="003C1910" w:rsidRDefault="00AF6694" w:rsidP="00AF6694">
      <w:pPr>
        <w:pStyle w:val="NormalWeb"/>
        <w:spacing w:before="0" w:beforeAutospacing="0" w:after="0" w:afterAutospacing="0"/>
        <w:rPr>
          <w:rFonts w:asciiTheme="minorHAnsi" w:hAnsiTheme="minorHAnsi" w:cs="Arial"/>
          <w:color w:val="000000"/>
          <w:szCs w:val="22"/>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Explores the various legal basis for the processing of personal data. Assists trainees in understand</w:t>
      </w:r>
      <w:r w:rsidR="00675C02">
        <w:rPr>
          <w:rFonts w:asciiTheme="minorHAnsi" w:hAnsiTheme="minorHAnsi" w:cs="Arial"/>
          <w:color w:val="000000"/>
          <w:szCs w:val="22"/>
          <w:lang w:val="en-GB"/>
        </w:rPr>
        <w:t>ing</w:t>
      </w:r>
      <w:r w:rsidR="004B254D" w:rsidRPr="003C1910">
        <w:rPr>
          <w:rFonts w:asciiTheme="minorHAnsi" w:hAnsiTheme="minorHAnsi" w:cs="Arial"/>
          <w:color w:val="000000"/>
          <w:szCs w:val="22"/>
          <w:lang w:val="en-GB"/>
        </w:rPr>
        <w:t xml:space="preserve"> their options in this space, including what is and what is not permitted</w:t>
      </w:r>
      <w:r w:rsidR="00A70C4D" w:rsidRPr="003C1910">
        <w:rPr>
          <w:rFonts w:asciiTheme="minorHAnsi" w:hAnsiTheme="minorHAnsi" w:cs="Arial"/>
          <w:color w:val="000000"/>
          <w:szCs w:val="22"/>
          <w:lang w:val="en-GB"/>
        </w:rPr>
        <w:t>, and which is the most appropriate legal grounds for their data processing</w:t>
      </w:r>
      <w:r w:rsidR="004B254D" w:rsidRPr="003C1910">
        <w:rPr>
          <w:rFonts w:asciiTheme="minorHAnsi" w:hAnsiTheme="minorHAnsi" w:cs="Arial"/>
          <w:color w:val="000000"/>
          <w:szCs w:val="22"/>
          <w:lang w:val="en-GB"/>
        </w:rPr>
        <w:t>.</w:t>
      </w:r>
      <w:r w:rsidR="00C65E68">
        <w:rPr>
          <w:rFonts w:asciiTheme="minorHAnsi" w:hAnsiTheme="minorHAnsi" w:cs="Arial"/>
          <w:color w:val="000000"/>
          <w:szCs w:val="22"/>
          <w:lang w:val="en-GB"/>
        </w:rPr>
        <w:t xml:space="preserve"> It also allows them to understand the approach they should have to GDPR compliance as a whole, </w:t>
      </w:r>
      <w:proofErr w:type="gramStart"/>
      <w:r w:rsidR="00C65E68">
        <w:rPr>
          <w:rFonts w:asciiTheme="minorHAnsi" w:hAnsiTheme="minorHAnsi" w:cs="Arial"/>
          <w:color w:val="000000"/>
          <w:szCs w:val="22"/>
          <w:lang w:val="en-GB"/>
        </w:rPr>
        <w:t>due to the fact that</w:t>
      </w:r>
      <w:proofErr w:type="gramEnd"/>
      <w:r w:rsidR="00C65E68">
        <w:rPr>
          <w:rFonts w:asciiTheme="minorHAnsi" w:hAnsiTheme="minorHAnsi" w:cs="Arial"/>
          <w:color w:val="000000"/>
          <w:szCs w:val="22"/>
          <w:lang w:val="en-GB"/>
        </w:rPr>
        <w:t xml:space="preserve"> the entire system is </w:t>
      </w:r>
      <w:r w:rsidR="00675C02">
        <w:rPr>
          <w:rFonts w:asciiTheme="minorHAnsi" w:hAnsiTheme="minorHAnsi" w:cs="Arial"/>
          <w:color w:val="000000"/>
          <w:szCs w:val="22"/>
          <w:lang w:val="en-GB"/>
        </w:rPr>
        <w:t>significantly</w:t>
      </w:r>
      <w:r w:rsidR="00C65E68">
        <w:rPr>
          <w:rFonts w:asciiTheme="minorHAnsi" w:hAnsiTheme="minorHAnsi" w:cs="Arial"/>
          <w:color w:val="000000"/>
          <w:szCs w:val="22"/>
          <w:lang w:val="en-GB"/>
        </w:rPr>
        <w:t xml:space="preserve"> based on these rules.</w:t>
      </w:r>
    </w:p>
    <w:p w14:paraId="42CED9D9" w14:textId="77777777" w:rsidR="004B254D" w:rsidRPr="003C1910" w:rsidRDefault="004B254D" w:rsidP="00AF6694">
      <w:pPr>
        <w:pStyle w:val="NormalWeb"/>
        <w:spacing w:before="0" w:beforeAutospacing="0" w:after="0" w:afterAutospacing="0"/>
        <w:rPr>
          <w:rFonts w:asciiTheme="minorHAnsi" w:hAnsiTheme="minorHAnsi"/>
          <w:lang w:val="en-GB"/>
        </w:rPr>
      </w:pPr>
    </w:p>
    <w:p w14:paraId="4501550A" w14:textId="6F6199A3"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 xml:space="preserve">Article 6 GDPR, </w:t>
      </w:r>
      <w:r w:rsidR="00A94504" w:rsidRPr="003C1910">
        <w:rPr>
          <w:rFonts w:asciiTheme="minorHAnsi" w:hAnsiTheme="minorHAnsi" w:cs="Arial"/>
          <w:color w:val="000000"/>
          <w:szCs w:val="22"/>
          <w:lang w:val="en-GB"/>
        </w:rPr>
        <w:t xml:space="preserve">Purpose limitation; </w:t>
      </w:r>
      <w:r w:rsidR="00675C02">
        <w:rPr>
          <w:rFonts w:asciiTheme="minorHAnsi" w:hAnsiTheme="minorHAnsi" w:cs="Arial"/>
          <w:color w:val="000000"/>
          <w:szCs w:val="22"/>
          <w:lang w:val="en-GB"/>
        </w:rPr>
        <w:t>c</w:t>
      </w:r>
      <w:r w:rsidR="00A94504" w:rsidRPr="003C1910">
        <w:rPr>
          <w:rFonts w:asciiTheme="minorHAnsi" w:hAnsiTheme="minorHAnsi" w:cs="Arial"/>
          <w:color w:val="000000"/>
          <w:szCs w:val="22"/>
          <w:lang w:val="en-GB"/>
        </w:rPr>
        <w:t xml:space="preserve">onsent; legitimate interest; Processing of </w:t>
      </w:r>
      <w:r w:rsidR="00C65E68" w:rsidRPr="003C1910">
        <w:rPr>
          <w:rFonts w:asciiTheme="minorHAnsi" w:hAnsiTheme="minorHAnsi" w:cs="Arial"/>
          <w:color w:val="000000"/>
          <w:szCs w:val="22"/>
          <w:lang w:val="en-GB"/>
        </w:rPr>
        <w:t>special categories</w:t>
      </w:r>
      <w:r w:rsidR="00C65E68" w:rsidRPr="003C1910" w:rsidDel="00C65E68">
        <w:rPr>
          <w:rFonts w:asciiTheme="minorHAnsi" w:hAnsiTheme="minorHAnsi" w:cs="Arial"/>
          <w:color w:val="000000"/>
          <w:szCs w:val="22"/>
          <w:lang w:val="en-GB"/>
        </w:rPr>
        <w:t xml:space="preserve"> </w:t>
      </w:r>
      <w:r w:rsidR="00C65E68">
        <w:rPr>
          <w:rFonts w:asciiTheme="minorHAnsi" w:hAnsiTheme="minorHAnsi" w:cs="Arial"/>
          <w:color w:val="000000"/>
          <w:szCs w:val="22"/>
          <w:lang w:val="en-GB"/>
        </w:rPr>
        <w:t>of</w:t>
      </w:r>
      <w:r w:rsidR="00A94504" w:rsidRPr="003C1910">
        <w:rPr>
          <w:rFonts w:asciiTheme="minorHAnsi" w:hAnsiTheme="minorHAnsi" w:cs="Arial"/>
          <w:color w:val="000000"/>
          <w:szCs w:val="22"/>
          <w:lang w:val="en-GB"/>
        </w:rPr>
        <w:t xml:space="preserve"> data</w:t>
      </w:r>
      <w:r w:rsidR="004B254D" w:rsidRPr="003C1910">
        <w:rPr>
          <w:rFonts w:asciiTheme="minorHAnsi" w:hAnsiTheme="minorHAnsi" w:cs="Arial"/>
          <w:color w:val="000000"/>
          <w:szCs w:val="22"/>
          <w:lang w:val="en-GB"/>
        </w:rPr>
        <w:t xml:space="preserve">, </w:t>
      </w:r>
      <w:r w:rsidR="003F10A9">
        <w:rPr>
          <w:rFonts w:asciiTheme="minorHAnsi" w:hAnsiTheme="minorHAnsi" w:cs="Arial"/>
          <w:color w:val="000000"/>
          <w:szCs w:val="22"/>
          <w:lang w:val="en-GB"/>
        </w:rPr>
        <w:t>personal data regarding minors</w:t>
      </w:r>
      <w:r w:rsidR="00A70C4D"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legal grounds for data processing in the workplace</w:t>
      </w:r>
      <w:r w:rsidR="00A70C4D" w:rsidRPr="003C1910">
        <w:rPr>
          <w:rFonts w:asciiTheme="minorHAnsi" w:hAnsiTheme="minorHAnsi" w:cs="Arial"/>
          <w:color w:val="000000"/>
          <w:szCs w:val="22"/>
          <w:lang w:val="en-GB"/>
        </w:rPr>
        <w:t xml:space="preserve">, personal and non-personal data. </w:t>
      </w:r>
    </w:p>
    <w:p w14:paraId="4AC715C7" w14:textId="77777777" w:rsidR="004B254D" w:rsidRPr="003C1910" w:rsidRDefault="004B254D" w:rsidP="00AF6694">
      <w:pPr>
        <w:pStyle w:val="NormalWeb"/>
        <w:spacing w:before="0" w:beforeAutospacing="0" w:after="0" w:afterAutospacing="0"/>
        <w:rPr>
          <w:rFonts w:asciiTheme="minorHAnsi" w:hAnsiTheme="minorHAnsi" w:cs="Arial"/>
          <w:b/>
          <w:color w:val="000000"/>
          <w:szCs w:val="22"/>
          <w:lang w:val="en-GB"/>
        </w:rPr>
      </w:pPr>
    </w:p>
    <w:p w14:paraId="5F284602" w14:textId="0E4FFDC6"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00534807" w:rsidRPr="003C1910">
        <w:rPr>
          <w:rFonts w:asciiTheme="minorHAnsi" w:hAnsiTheme="minorHAnsi" w:cs="Arial"/>
          <w:color w:val="000000"/>
          <w:szCs w:val="22"/>
          <w:lang w:val="en-GB"/>
        </w:rPr>
        <w:t xml:space="preserve"> Core topic, </w:t>
      </w:r>
      <w:r w:rsidR="003F10A9">
        <w:rPr>
          <w:rFonts w:asciiTheme="minorHAnsi" w:hAnsiTheme="minorHAnsi" w:cs="Arial"/>
          <w:color w:val="000000"/>
          <w:szCs w:val="22"/>
          <w:lang w:val="en-GB"/>
        </w:rPr>
        <w:t xml:space="preserve">functional </w:t>
      </w:r>
      <w:r w:rsidR="00675C02">
        <w:rPr>
          <w:rFonts w:asciiTheme="minorHAnsi" w:hAnsiTheme="minorHAnsi" w:cs="Arial"/>
          <w:color w:val="000000"/>
          <w:szCs w:val="22"/>
          <w:lang w:val="en-GB"/>
        </w:rPr>
        <w:t>for</w:t>
      </w:r>
      <w:r w:rsidR="003F10A9">
        <w:rPr>
          <w:rFonts w:asciiTheme="minorHAnsi" w:hAnsiTheme="minorHAnsi" w:cs="Arial"/>
          <w:color w:val="000000"/>
          <w:szCs w:val="22"/>
          <w:lang w:val="en-GB"/>
        </w:rPr>
        <w:t xml:space="preserve"> the acquisition of knowledge on the other obligations contained in the GDPR</w:t>
      </w:r>
      <w:r w:rsidR="00243ABB">
        <w:rPr>
          <w:rFonts w:asciiTheme="minorHAnsi" w:hAnsiTheme="minorHAnsi" w:cs="Arial"/>
          <w:color w:val="000000"/>
          <w:szCs w:val="22"/>
          <w:lang w:val="en-GB"/>
        </w:rPr>
        <w:t xml:space="preserve">, </w:t>
      </w:r>
      <w:r w:rsidR="00534807" w:rsidRPr="003C1910">
        <w:rPr>
          <w:rFonts w:asciiTheme="minorHAnsi" w:hAnsiTheme="minorHAnsi" w:cs="Arial"/>
          <w:color w:val="000000"/>
          <w:szCs w:val="22"/>
          <w:lang w:val="en-GB"/>
        </w:rPr>
        <w:t>DPA and DPO priority</w:t>
      </w:r>
    </w:p>
    <w:p w14:paraId="28D9FAD2" w14:textId="77777777" w:rsidR="004B254D" w:rsidRPr="003C1910" w:rsidRDefault="004B254D" w:rsidP="00AF6694">
      <w:pPr>
        <w:pStyle w:val="NormalWeb"/>
        <w:spacing w:before="0" w:beforeAutospacing="0" w:after="0" w:afterAutospacing="0"/>
        <w:rPr>
          <w:rFonts w:asciiTheme="minorHAnsi" w:hAnsiTheme="minorHAnsi" w:cs="Arial"/>
          <w:color w:val="000000"/>
          <w:szCs w:val="22"/>
          <w:lang w:val="en-GB"/>
        </w:rPr>
      </w:pPr>
    </w:p>
    <w:p w14:paraId="2712B1B7" w14:textId="529B3F58" w:rsidR="00AF6694" w:rsidRPr="003C1910" w:rsidRDefault="00AF6694" w:rsidP="00AF6694">
      <w:pPr>
        <w:pStyle w:val="NormalWeb"/>
        <w:spacing w:before="0" w:beforeAutospacing="0" w:after="0" w:afterAutospacing="0"/>
        <w:rPr>
          <w:rFonts w:asciiTheme="minorHAnsi" w:hAnsiTheme="minorHAnsi" w:cs="Arial"/>
          <w:b/>
          <w:color w:val="000000"/>
          <w:szCs w:val="22"/>
          <w:lang w:val="en-GB"/>
        </w:rPr>
      </w:pPr>
      <w:r w:rsidRPr="003C1910">
        <w:rPr>
          <w:rFonts w:asciiTheme="minorHAnsi" w:hAnsiTheme="minorHAnsi" w:cs="Arial"/>
          <w:b/>
          <w:color w:val="000000"/>
          <w:szCs w:val="22"/>
          <w:lang w:val="en-GB"/>
        </w:rPr>
        <w:lastRenderedPageBreak/>
        <w:t xml:space="preserve">Additional considerations for this topic: </w:t>
      </w:r>
    </w:p>
    <w:p w14:paraId="3489B867" w14:textId="05AD46E9" w:rsidR="00A94504" w:rsidRDefault="00A94504" w:rsidP="00A94504">
      <w:pPr>
        <w:pStyle w:val="NormalWeb"/>
        <w:numPr>
          <w:ilvl w:val="0"/>
          <w:numId w:val="41"/>
        </w:numPr>
        <w:spacing w:before="0" w:beforeAutospacing="0" w:after="0" w:afterAutospacing="0"/>
        <w:rPr>
          <w:rFonts w:asciiTheme="minorHAnsi" w:hAnsiTheme="minorHAnsi"/>
          <w:lang w:val="en-GB"/>
        </w:rPr>
      </w:pPr>
      <w:r w:rsidRPr="003C1910">
        <w:rPr>
          <w:rFonts w:asciiTheme="minorHAnsi" w:hAnsiTheme="minorHAnsi"/>
          <w:lang w:val="en-GB"/>
        </w:rPr>
        <w:t xml:space="preserve">Would strongly benefit from various case studies from different industries or sectors of the economy. </w:t>
      </w:r>
    </w:p>
    <w:p w14:paraId="6385FD5C" w14:textId="2DC75CA3" w:rsidR="003F10A9" w:rsidRDefault="00AD2370" w:rsidP="00A94504">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These examples</w:t>
      </w:r>
      <w:r w:rsidR="003F10A9">
        <w:rPr>
          <w:rFonts w:asciiTheme="minorHAnsi" w:hAnsiTheme="minorHAnsi"/>
          <w:lang w:val="en-GB"/>
        </w:rPr>
        <w:t xml:space="preserve"> would regard the activities of public and private organisations </w:t>
      </w:r>
      <w:r w:rsidR="00675C02">
        <w:rPr>
          <w:rFonts w:asciiTheme="minorHAnsi" w:hAnsiTheme="minorHAnsi"/>
          <w:lang w:val="en-GB"/>
        </w:rPr>
        <w:t>online</w:t>
      </w:r>
      <w:r w:rsidR="003F10A9">
        <w:rPr>
          <w:rFonts w:asciiTheme="minorHAnsi" w:hAnsiTheme="minorHAnsi"/>
          <w:lang w:val="en-GB"/>
        </w:rPr>
        <w:t xml:space="preserve">, as well as the processing of special categories of data, such as medical data, </w:t>
      </w:r>
      <w:r w:rsidR="00243ABB">
        <w:rPr>
          <w:rFonts w:asciiTheme="minorHAnsi" w:hAnsiTheme="minorHAnsi"/>
          <w:lang w:val="en-GB"/>
        </w:rPr>
        <w:t>both in business activities and in research.</w:t>
      </w:r>
    </w:p>
    <w:p w14:paraId="7B019500" w14:textId="00C2B3CB" w:rsidR="00243ABB" w:rsidRPr="003C1910" w:rsidRDefault="00243ABB" w:rsidP="00A94504">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This topic is suitable for a Power Point presentation, as well as for a webinar or a practice-based, group case study.</w:t>
      </w:r>
    </w:p>
    <w:p w14:paraId="13387E0B" w14:textId="77777777" w:rsidR="00AF6694" w:rsidRPr="003C1910" w:rsidRDefault="00AF6694" w:rsidP="00AF6694">
      <w:pPr>
        <w:rPr>
          <w:lang w:val="en-GB"/>
        </w:rPr>
      </w:pPr>
    </w:p>
    <w:p w14:paraId="79482730" w14:textId="77777777" w:rsidR="00AF6694" w:rsidRPr="003C1910" w:rsidRDefault="00AF6694" w:rsidP="00975FB6">
      <w:pPr>
        <w:pStyle w:val="Heading2"/>
        <w:rPr>
          <w:lang w:val="en-GB"/>
        </w:rPr>
      </w:pPr>
      <w:bookmarkStart w:id="15" w:name="_Toc513797487"/>
      <w:r w:rsidRPr="003C1910">
        <w:rPr>
          <w:lang w:val="en-GB"/>
        </w:rPr>
        <w:t>Topic 3: The rights of the data subject and their exercise</w:t>
      </w:r>
      <w:bookmarkEnd w:id="15"/>
    </w:p>
    <w:p w14:paraId="6014494F" w14:textId="73D77C60"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Explores the rights of the data subject in relation to the processing of their personal data, how organisations </w:t>
      </w:r>
      <w:r w:rsidR="00E13721">
        <w:rPr>
          <w:rFonts w:asciiTheme="minorHAnsi" w:hAnsiTheme="minorHAnsi" w:cs="Arial"/>
          <w:color w:val="000000"/>
          <w:szCs w:val="22"/>
          <w:lang w:val="en-GB"/>
        </w:rPr>
        <w:t>have an obligation to</w:t>
      </w:r>
      <w:r w:rsidR="00E13721"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respect th</w:t>
      </w:r>
      <w:r w:rsidR="0051657E" w:rsidRPr="003C1910">
        <w:rPr>
          <w:rFonts w:asciiTheme="minorHAnsi" w:hAnsiTheme="minorHAnsi" w:cs="Arial"/>
          <w:color w:val="000000"/>
          <w:szCs w:val="22"/>
          <w:lang w:val="en-GB"/>
        </w:rPr>
        <w:t xml:space="preserve">ese </w:t>
      </w:r>
      <w:r w:rsidR="004B254D" w:rsidRPr="003C1910">
        <w:rPr>
          <w:rFonts w:asciiTheme="minorHAnsi" w:hAnsiTheme="minorHAnsi" w:cs="Arial"/>
          <w:color w:val="000000"/>
          <w:szCs w:val="22"/>
          <w:lang w:val="en-GB"/>
        </w:rPr>
        <w:t xml:space="preserve">and good practices to implement those rights in data processing. </w:t>
      </w:r>
      <w:r w:rsidR="0051657E" w:rsidRPr="003C1910">
        <w:rPr>
          <w:rFonts w:asciiTheme="minorHAnsi" w:hAnsiTheme="minorHAnsi" w:cs="Arial"/>
          <w:color w:val="000000"/>
          <w:szCs w:val="22"/>
          <w:lang w:val="en-GB"/>
        </w:rPr>
        <w:t>This material will help trainees to understand and protect the rights of data subjects and build systems and structures to help data subjects exercise their rights</w:t>
      </w:r>
      <w:r w:rsidR="004E4EAE">
        <w:rPr>
          <w:rFonts w:asciiTheme="minorHAnsi" w:hAnsiTheme="minorHAnsi" w:cs="Arial"/>
          <w:color w:val="000000"/>
          <w:szCs w:val="22"/>
          <w:lang w:val="en-GB"/>
        </w:rPr>
        <w:t xml:space="preserve"> and minimise their exposure to enforcement actions of administrative and/or contractual/tortious nature.</w:t>
      </w:r>
    </w:p>
    <w:p w14:paraId="6AB1831E" w14:textId="77777777" w:rsidR="004B254D" w:rsidRPr="003C1910" w:rsidRDefault="004B254D" w:rsidP="00AF6694">
      <w:pPr>
        <w:pStyle w:val="NormalWeb"/>
        <w:spacing w:before="0" w:beforeAutospacing="0" w:after="0" w:afterAutospacing="0"/>
        <w:rPr>
          <w:rFonts w:asciiTheme="minorHAnsi" w:hAnsiTheme="minorHAnsi" w:cs="Arial"/>
          <w:color w:val="000000"/>
          <w:szCs w:val="22"/>
          <w:lang w:val="en-GB"/>
        </w:rPr>
      </w:pPr>
    </w:p>
    <w:p w14:paraId="054D32B2" w14:textId="5D0B23F9"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GDPR Chapter III, transparent information and communication, right of access, right of rectification, </w:t>
      </w:r>
      <w:r w:rsidR="0039403B" w:rsidRPr="003C1910">
        <w:rPr>
          <w:rFonts w:asciiTheme="minorHAnsi" w:hAnsiTheme="minorHAnsi" w:cs="Arial"/>
          <w:color w:val="000000"/>
          <w:szCs w:val="22"/>
          <w:lang w:val="en-GB"/>
        </w:rPr>
        <w:t>right</w:t>
      </w:r>
      <w:r w:rsidR="004B254D" w:rsidRPr="003C1910">
        <w:rPr>
          <w:rFonts w:asciiTheme="minorHAnsi" w:hAnsiTheme="minorHAnsi" w:cs="Arial"/>
          <w:color w:val="000000"/>
          <w:szCs w:val="22"/>
          <w:lang w:val="en-GB"/>
        </w:rPr>
        <w:t xml:space="preserve"> to object, right to erasure (right to be forgotten), right to restriction, notification obligation, data portability, rights in relation to automated data processing, including profiling</w:t>
      </w:r>
      <w:r w:rsidR="0039403B">
        <w:rPr>
          <w:rFonts w:asciiTheme="minorHAnsi" w:hAnsiTheme="minorHAnsi" w:cs="Arial"/>
          <w:color w:val="000000"/>
          <w:szCs w:val="22"/>
          <w:lang w:val="en-GB"/>
        </w:rPr>
        <w:t>, i</w:t>
      </w:r>
      <w:r w:rsidR="004B254D" w:rsidRPr="003C1910">
        <w:rPr>
          <w:rFonts w:asciiTheme="minorHAnsi" w:hAnsiTheme="minorHAnsi" w:cs="Arial"/>
          <w:color w:val="000000"/>
          <w:szCs w:val="22"/>
          <w:lang w:val="en-GB"/>
        </w:rPr>
        <w:t xml:space="preserve">nternational data transfers. </w:t>
      </w:r>
    </w:p>
    <w:p w14:paraId="16F42C5D" w14:textId="77777777" w:rsidR="004B254D" w:rsidRPr="003C1910" w:rsidRDefault="004B254D" w:rsidP="00AF6694">
      <w:pPr>
        <w:pStyle w:val="NormalWeb"/>
        <w:spacing w:before="0" w:beforeAutospacing="0" w:after="0" w:afterAutospacing="0"/>
        <w:rPr>
          <w:rFonts w:asciiTheme="minorHAnsi" w:hAnsiTheme="minorHAnsi" w:cs="Arial"/>
          <w:color w:val="000000"/>
          <w:szCs w:val="22"/>
          <w:lang w:val="en-GB"/>
        </w:rPr>
      </w:pPr>
    </w:p>
    <w:p w14:paraId="7D9E85B7" w14:textId="2069D226"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Core topic, DPA priority</w:t>
      </w:r>
      <w:r w:rsidR="004B254D" w:rsidRPr="003C1910">
        <w:rPr>
          <w:rFonts w:asciiTheme="minorHAnsi" w:hAnsiTheme="minorHAnsi" w:cs="Arial"/>
          <w:color w:val="000000"/>
          <w:szCs w:val="22"/>
          <w:lang w:val="en-GB"/>
        </w:rPr>
        <w:t>, novel elements in GDPR</w:t>
      </w:r>
      <w:r w:rsidR="0039403B">
        <w:rPr>
          <w:rFonts w:asciiTheme="minorHAnsi" w:hAnsiTheme="minorHAnsi" w:cs="Arial"/>
          <w:color w:val="000000"/>
          <w:szCs w:val="22"/>
          <w:lang w:val="en-GB"/>
        </w:rPr>
        <w:t xml:space="preserve"> that lead to a significant additional burden for organisations in the public and private sectors.</w:t>
      </w:r>
      <w:r w:rsidR="004E4EAE">
        <w:rPr>
          <w:rFonts w:asciiTheme="minorHAnsi" w:hAnsiTheme="minorHAnsi" w:cs="Arial"/>
          <w:color w:val="000000"/>
          <w:szCs w:val="22"/>
          <w:lang w:val="en-GB"/>
        </w:rPr>
        <w:t xml:space="preserve"> </w:t>
      </w:r>
    </w:p>
    <w:p w14:paraId="05A744D6" w14:textId="77777777" w:rsidR="004B254D" w:rsidRPr="003C1910" w:rsidRDefault="004B254D" w:rsidP="00AF6694">
      <w:pPr>
        <w:pStyle w:val="NormalWeb"/>
        <w:spacing w:before="0" w:beforeAutospacing="0" w:after="0" w:afterAutospacing="0"/>
        <w:rPr>
          <w:rFonts w:asciiTheme="minorHAnsi" w:hAnsiTheme="minorHAnsi" w:cs="Arial"/>
          <w:color w:val="000000"/>
          <w:szCs w:val="22"/>
          <w:lang w:val="en-GB"/>
        </w:rPr>
      </w:pPr>
    </w:p>
    <w:p w14:paraId="5DED2FAA" w14:textId="15CE7D11" w:rsidR="00AF6694" w:rsidRPr="003C1910" w:rsidRDefault="00AF6694" w:rsidP="004B254D">
      <w:pPr>
        <w:pStyle w:val="NormalWeb"/>
        <w:spacing w:before="0" w:beforeAutospacing="0" w:after="0" w:afterAutospacing="0"/>
        <w:rPr>
          <w:rFonts w:asciiTheme="minorHAnsi" w:hAnsiTheme="minorHAnsi" w:cs="Arial"/>
          <w:color w:val="000000"/>
          <w:szCs w:val="22"/>
          <w:lang w:val="en-GB"/>
        </w:rPr>
      </w:pPr>
      <w:r w:rsidRPr="003C1910">
        <w:rPr>
          <w:rFonts w:asciiTheme="minorHAnsi" w:hAnsiTheme="minorHAnsi" w:cs="Arial"/>
          <w:b/>
          <w:color w:val="000000"/>
          <w:szCs w:val="22"/>
          <w:lang w:val="en-GB"/>
        </w:rPr>
        <w:t>Additional considerations for this topic</w:t>
      </w:r>
      <w:r w:rsidRPr="003C1910">
        <w:rPr>
          <w:rFonts w:asciiTheme="minorHAnsi" w:hAnsiTheme="minorHAnsi" w:cs="Arial"/>
          <w:color w:val="000000"/>
          <w:szCs w:val="22"/>
          <w:lang w:val="en-GB"/>
        </w:rPr>
        <w:t xml:space="preserve">: </w:t>
      </w:r>
    </w:p>
    <w:p w14:paraId="2DA0A714" w14:textId="2C2FE32C" w:rsidR="004B254D" w:rsidRDefault="004B254D" w:rsidP="004B254D">
      <w:pPr>
        <w:pStyle w:val="NormalWeb"/>
        <w:numPr>
          <w:ilvl w:val="0"/>
          <w:numId w:val="41"/>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Strongly benefits from good, real-world case studies of how to build data processing systems that respect data subject rights (e.g. allow for easy and straightforward data portability, etc). </w:t>
      </w:r>
    </w:p>
    <w:p w14:paraId="442AE288" w14:textId="4654EF30" w:rsidR="004E4EAE" w:rsidRPr="00B43801" w:rsidRDefault="00675C02" w:rsidP="004B254D">
      <w:pPr>
        <w:pStyle w:val="NormalWeb"/>
        <w:numPr>
          <w:ilvl w:val="0"/>
          <w:numId w:val="41"/>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 xml:space="preserve"> Suitable</w:t>
      </w:r>
      <w:r w:rsidR="004E4EAE">
        <w:rPr>
          <w:rFonts w:asciiTheme="minorHAnsi" w:hAnsiTheme="minorHAnsi" w:cs="Arial"/>
          <w:color w:val="000000"/>
          <w:szCs w:val="22"/>
          <w:lang w:val="en-GB"/>
        </w:rPr>
        <w:t xml:space="preserve"> for Power Point presentations and Webinar. </w:t>
      </w:r>
      <w:r w:rsidR="00AE2CB2">
        <w:rPr>
          <w:rFonts w:asciiTheme="minorHAnsi" w:hAnsiTheme="minorHAnsi" w:cs="Arial"/>
          <w:color w:val="000000"/>
          <w:szCs w:val="22"/>
          <w:lang w:val="en-GB"/>
        </w:rPr>
        <w:t>Suitable</w:t>
      </w:r>
      <w:r w:rsidR="004E4EAE">
        <w:rPr>
          <w:rFonts w:asciiTheme="minorHAnsi" w:hAnsiTheme="minorHAnsi" w:cs="Arial"/>
          <w:color w:val="000000"/>
          <w:szCs w:val="22"/>
          <w:lang w:val="en-GB"/>
        </w:rPr>
        <w:t xml:space="preserve"> for case studies if combined with topic 3. </w:t>
      </w:r>
    </w:p>
    <w:p w14:paraId="6F4A7235" w14:textId="4A6D7726" w:rsidR="00AF6694" w:rsidRPr="003C1910" w:rsidRDefault="00AF6694" w:rsidP="00975FB6">
      <w:pPr>
        <w:pStyle w:val="Heading2"/>
        <w:rPr>
          <w:lang w:val="en-GB"/>
        </w:rPr>
      </w:pPr>
      <w:bookmarkStart w:id="16" w:name="_Toc513797488"/>
      <w:r w:rsidRPr="003C1910">
        <w:rPr>
          <w:lang w:val="en-GB"/>
        </w:rPr>
        <w:t xml:space="preserve">Topic </w:t>
      </w:r>
      <w:r w:rsidR="00A70C4D" w:rsidRPr="003C1910">
        <w:rPr>
          <w:lang w:val="en-GB"/>
        </w:rPr>
        <w:t>4</w:t>
      </w:r>
      <w:r w:rsidRPr="003C1910">
        <w:rPr>
          <w:lang w:val="en-GB"/>
        </w:rPr>
        <w:t>: Responsibilities of the data controller and processors</w:t>
      </w:r>
      <w:bookmarkEnd w:id="16"/>
    </w:p>
    <w:p w14:paraId="160C5936" w14:textId="4368D80F" w:rsidR="00AF6694" w:rsidRPr="00B43801" w:rsidRDefault="00AF6694" w:rsidP="00B43801">
      <w:pPr>
        <w:pStyle w:val="NormalWeb"/>
        <w:tabs>
          <w:tab w:val="left" w:pos="1502"/>
        </w:tabs>
        <w:spacing w:before="0" w:beforeAutospacing="0" w:after="0" w:afterAutospacing="0"/>
        <w:rPr>
          <w:rFonts w:asciiTheme="minorHAnsi" w:hAnsiTheme="minorHAnsi" w:cs="Arial"/>
          <w:color w:val="000000"/>
          <w:szCs w:val="22"/>
          <w:lang w:val="en-GB"/>
        </w:rPr>
      </w:pPr>
      <w:r w:rsidRPr="00B43801">
        <w:rPr>
          <w:rFonts w:asciiTheme="minorHAnsi" w:hAnsiTheme="minorHAnsi" w:cs="Arial"/>
          <w:b/>
          <w:color w:val="000000"/>
          <w:szCs w:val="22"/>
          <w:lang w:val="en-GB"/>
        </w:rPr>
        <w:t xml:space="preserve">Summary: </w:t>
      </w:r>
      <w:r w:rsidR="007F1AFE">
        <w:rPr>
          <w:rFonts w:asciiTheme="minorHAnsi" w:hAnsiTheme="minorHAnsi" w:cs="Arial"/>
          <w:color w:val="000000"/>
          <w:szCs w:val="22"/>
          <w:lang w:val="en-GB"/>
        </w:rPr>
        <w:t xml:space="preserve">Explores the obligations of data controllers and processors in terms of transparency with data subjects and authorities, organisational measures to ensure compliance with the legislation, and actions to be undertaken in case of pathological </w:t>
      </w:r>
      <w:r w:rsidR="007A0427">
        <w:rPr>
          <w:rFonts w:asciiTheme="minorHAnsi" w:hAnsiTheme="minorHAnsi" w:cs="Arial"/>
          <w:color w:val="000000"/>
          <w:szCs w:val="22"/>
          <w:lang w:val="en-GB"/>
        </w:rPr>
        <w:t>situation</w:t>
      </w:r>
      <w:r w:rsidR="00675C02">
        <w:rPr>
          <w:rFonts w:asciiTheme="minorHAnsi" w:hAnsiTheme="minorHAnsi" w:cs="Arial"/>
          <w:color w:val="000000"/>
          <w:szCs w:val="22"/>
          <w:lang w:val="en-GB"/>
        </w:rPr>
        <w:t>s</w:t>
      </w:r>
      <w:r w:rsidR="007A0427">
        <w:rPr>
          <w:rFonts w:asciiTheme="minorHAnsi" w:hAnsiTheme="minorHAnsi" w:cs="Arial"/>
          <w:color w:val="000000"/>
          <w:szCs w:val="22"/>
          <w:lang w:val="en-GB"/>
        </w:rPr>
        <w:t xml:space="preserve">, such as data breaches. It </w:t>
      </w:r>
      <w:r w:rsidR="00675C02">
        <w:rPr>
          <w:rFonts w:asciiTheme="minorHAnsi" w:hAnsiTheme="minorHAnsi" w:cs="Arial"/>
          <w:color w:val="000000"/>
          <w:szCs w:val="22"/>
          <w:lang w:val="en-GB"/>
        </w:rPr>
        <w:t xml:space="preserve">also </w:t>
      </w:r>
      <w:r w:rsidR="00AE2CB2">
        <w:rPr>
          <w:rFonts w:asciiTheme="minorHAnsi" w:hAnsiTheme="minorHAnsi" w:cs="Arial"/>
          <w:color w:val="000000"/>
          <w:szCs w:val="22"/>
          <w:lang w:val="en-GB"/>
        </w:rPr>
        <w:t>explores</w:t>
      </w:r>
      <w:r w:rsidR="007A0427">
        <w:rPr>
          <w:rFonts w:asciiTheme="minorHAnsi" w:hAnsiTheme="minorHAnsi" w:cs="Arial"/>
          <w:color w:val="000000"/>
          <w:szCs w:val="22"/>
          <w:lang w:val="en-GB"/>
        </w:rPr>
        <w:t xml:space="preserve"> the new principle of accountability, a cornerstone of the GDPR regime.</w:t>
      </w:r>
    </w:p>
    <w:p w14:paraId="65F6BFDB" w14:textId="77777777" w:rsidR="007A0427" w:rsidRDefault="007A0427" w:rsidP="00AF6694">
      <w:pPr>
        <w:pStyle w:val="NormalWeb"/>
        <w:spacing w:before="0" w:beforeAutospacing="0" w:after="0" w:afterAutospacing="0"/>
        <w:rPr>
          <w:rFonts w:asciiTheme="minorHAnsi" w:hAnsiTheme="minorHAnsi" w:cs="Arial"/>
          <w:b/>
          <w:color w:val="000000"/>
          <w:szCs w:val="22"/>
          <w:lang w:val="en-GB"/>
        </w:rPr>
      </w:pPr>
    </w:p>
    <w:p w14:paraId="72C72D21" w14:textId="5A71C407" w:rsidR="00AF6694" w:rsidRPr="00B43801" w:rsidRDefault="00AF6694" w:rsidP="00AF6694">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b/>
          <w:color w:val="000000"/>
          <w:szCs w:val="22"/>
          <w:lang w:val="en-GB"/>
        </w:rPr>
        <w:t>Includes subtopics:</w:t>
      </w:r>
      <w:r w:rsidRPr="003C1910">
        <w:rPr>
          <w:rFonts w:ascii="Arial" w:hAnsi="Arial" w:cs="Arial"/>
          <w:color w:val="000000"/>
          <w:szCs w:val="22"/>
          <w:lang w:val="en-GB"/>
        </w:rPr>
        <w:t xml:space="preserve"> </w:t>
      </w:r>
      <w:r w:rsidR="008E22D2" w:rsidRPr="00B43801">
        <w:rPr>
          <w:rFonts w:asciiTheme="minorHAnsi" w:hAnsiTheme="minorHAnsi" w:cs="Arial"/>
          <w:color w:val="000000"/>
          <w:szCs w:val="22"/>
          <w:lang w:val="en-GB"/>
        </w:rPr>
        <w:t xml:space="preserve">GDPR chapter IV, responsibilities of the data controller, responsibilities of the processor, joint controllers, </w:t>
      </w:r>
      <w:r w:rsidR="009C2E28" w:rsidRPr="00B43801">
        <w:rPr>
          <w:rFonts w:asciiTheme="minorHAnsi" w:hAnsiTheme="minorHAnsi" w:cs="Arial"/>
          <w:color w:val="000000"/>
          <w:szCs w:val="22"/>
          <w:lang w:val="en-GB"/>
        </w:rPr>
        <w:t>privacy-by-design and by default, notification duties, liaison with the supervisory authorities, register of the processing activities,</w:t>
      </w:r>
      <w:r w:rsidR="009C2E28">
        <w:rPr>
          <w:rFonts w:asciiTheme="minorHAnsi" w:hAnsiTheme="minorHAnsi" w:cs="Arial"/>
          <w:color w:val="000000"/>
          <w:szCs w:val="22"/>
          <w:lang w:val="en-GB"/>
        </w:rPr>
        <w:t xml:space="preserve"> </w:t>
      </w:r>
      <w:r w:rsidRPr="00B43801">
        <w:rPr>
          <w:rFonts w:asciiTheme="minorHAnsi" w:hAnsiTheme="minorHAnsi" w:cs="Arial"/>
          <w:color w:val="000000"/>
          <w:szCs w:val="22"/>
          <w:lang w:val="en-GB"/>
        </w:rPr>
        <w:t>responsibilities relating to sensitive personal data</w:t>
      </w:r>
      <w:r w:rsidR="009C2E28" w:rsidRPr="00B43801">
        <w:rPr>
          <w:rFonts w:asciiTheme="minorHAnsi" w:hAnsiTheme="minorHAnsi" w:cs="Arial"/>
          <w:color w:val="000000"/>
          <w:szCs w:val="22"/>
          <w:lang w:val="en-GB"/>
        </w:rPr>
        <w:t>, etc.</w:t>
      </w:r>
      <w:r w:rsidR="00D05770">
        <w:rPr>
          <w:rFonts w:asciiTheme="minorHAnsi" w:hAnsiTheme="minorHAnsi" w:cs="Arial"/>
          <w:color w:val="000000"/>
          <w:szCs w:val="22"/>
          <w:lang w:val="en-GB"/>
        </w:rPr>
        <w:t xml:space="preserve"> Negotiating the relationship between data controller and processors. </w:t>
      </w:r>
    </w:p>
    <w:p w14:paraId="505A2645" w14:textId="77777777" w:rsidR="009C2E28" w:rsidRDefault="009C2E28" w:rsidP="00AF6694">
      <w:pPr>
        <w:pStyle w:val="NormalWeb"/>
        <w:spacing w:before="0" w:beforeAutospacing="0" w:after="0" w:afterAutospacing="0"/>
        <w:rPr>
          <w:rFonts w:ascii="Arial" w:hAnsi="Arial" w:cs="Arial"/>
          <w:color w:val="000000"/>
          <w:szCs w:val="22"/>
          <w:lang w:val="en-GB"/>
        </w:rPr>
      </w:pPr>
    </w:p>
    <w:p w14:paraId="5E1B33E3" w14:textId="29CEEA21" w:rsidR="00AF6694" w:rsidRPr="00B43801" w:rsidRDefault="00AF6694" w:rsidP="00AF6694">
      <w:pPr>
        <w:pStyle w:val="NormalWeb"/>
        <w:spacing w:before="0" w:beforeAutospacing="0" w:after="0" w:afterAutospacing="0"/>
        <w:rPr>
          <w:rFonts w:asciiTheme="minorHAnsi" w:hAnsiTheme="minorHAnsi" w:cs="Arial"/>
          <w:b/>
          <w:color w:val="000000"/>
          <w:szCs w:val="22"/>
          <w:lang w:val="en-GB"/>
        </w:rPr>
      </w:pPr>
      <w:r w:rsidRPr="00B43801">
        <w:rPr>
          <w:rFonts w:asciiTheme="minorHAnsi" w:hAnsiTheme="minorHAnsi" w:cs="Arial"/>
          <w:b/>
          <w:color w:val="000000"/>
          <w:szCs w:val="22"/>
          <w:lang w:val="en-GB"/>
        </w:rPr>
        <w:t>Rationale for inclusion:</w:t>
      </w:r>
      <w:r w:rsidR="0051657E" w:rsidRPr="00B43801">
        <w:rPr>
          <w:rFonts w:asciiTheme="minorHAnsi" w:hAnsiTheme="minorHAnsi" w:cs="Arial"/>
          <w:b/>
          <w:color w:val="000000"/>
          <w:szCs w:val="22"/>
          <w:lang w:val="en-GB"/>
        </w:rPr>
        <w:t xml:space="preserve"> </w:t>
      </w:r>
      <w:r w:rsidR="0051657E" w:rsidRPr="00B43801">
        <w:rPr>
          <w:rFonts w:asciiTheme="minorHAnsi" w:hAnsiTheme="minorHAnsi" w:cs="Arial"/>
          <w:color w:val="000000"/>
          <w:szCs w:val="22"/>
          <w:lang w:val="en-GB"/>
        </w:rPr>
        <w:t>core topic</w:t>
      </w:r>
      <w:r w:rsidR="009C2E28">
        <w:rPr>
          <w:rFonts w:asciiTheme="minorHAnsi" w:hAnsiTheme="minorHAnsi" w:cs="Arial"/>
          <w:color w:val="000000"/>
          <w:szCs w:val="22"/>
          <w:lang w:val="en-GB"/>
        </w:rPr>
        <w:t>, complementary to the rights of the data subjects, necessary to organisations to plan, achieve, and maintain GDPR compliance</w:t>
      </w:r>
    </w:p>
    <w:p w14:paraId="3DFAB259" w14:textId="77777777" w:rsidR="009C2E28" w:rsidRDefault="009C2E28" w:rsidP="00AF6694">
      <w:pPr>
        <w:pStyle w:val="NormalWeb"/>
        <w:spacing w:before="0" w:beforeAutospacing="0" w:after="0" w:afterAutospacing="0"/>
        <w:rPr>
          <w:rFonts w:ascii="Arial" w:hAnsi="Arial" w:cs="Arial"/>
          <w:color w:val="000000"/>
          <w:szCs w:val="22"/>
          <w:lang w:val="en-GB"/>
        </w:rPr>
      </w:pPr>
    </w:p>
    <w:p w14:paraId="54A270B1" w14:textId="6ED5A62E" w:rsidR="00AF6694" w:rsidRDefault="00AF6694" w:rsidP="00AF6694">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b/>
          <w:color w:val="000000"/>
          <w:szCs w:val="22"/>
          <w:lang w:val="en-GB"/>
        </w:rPr>
        <w:t xml:space="preserve">Additional considerations for this topic: </w:t>
      </w:r>
    </w:p>
    <w:p w14:paraId="54804E14" w14:textId="286A28B2" w:rsidR="00DE0D40" w:rsidRDefault="00DE0D40" w:rsidP="00B43801">
      <w:pPr>
        <w:pStyle w:val="NormalWeb"/>
        <w:numPr>
          <w:ilvl w:val="0"/>
          <w:numId w:val="42"/>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This topic is not</w:t>
      </w:r>
      <w:r w:rsidR="00D05770">
        <w:rPr>
          <w:rFonts w:asciiTheme="minorHAnsi" w:hAnsiTheme="minorHAnsi" w:cs="Arial"/>
          <w:color w:val="000000"/>
          <w:szCs w:val="22"/>
          <w:lang w:val="en-GB"/>
        </w:rPr>
        <w:t xml:space="preserve"> highly suitable for trainees new </w:t>
      </w:r>
      <w:proofErr w:type="gramStart"/>
      <w:r w:rsidR="00D05770">
        <w:rPr>
          <w:rFonts w:asciiTheme="minorHAnsi" w:hAnsiTheme="minorHAnsi" w:cs="Arial"/>
          <w:color w:val="000000"/>
          <w:szCs w:val="22"/>
          <w:lang w:val="en-GB"/>
        </w:rPr>
        <w:t xml:space="preserve">to </w:t>
      </w:r>
      <w:r>
        <w:rPr>
          <w:rFonts w:asciiTheme="minorHAnsi" w:hAnsiTheme="minorHAnsi" w:cs="Arial"/>
          <w:color w:val="000000"/>
          <w:szCs w:val="22"/>
          <w:lang w:val="en-GB"/>
        </w:rPr>
        <w:t xml:space="preserve"> data</w:t>
      </w:r>
      <w:proofErr w:type="gramEnd"/>
      <w:r>
        <w:rPr>
          <w:rFonts w:asciiTheme="minorHAnsi" w:hAnsiTheme="minorHAnsi" w:cs="Arial"/>
          <w:color w:val="000000"/>
          <w:szCs w:val="22"/>
          <w:lang w:val="en-GB"/>
        </w:rPr>
        <w:t xml:space="preserve"> protection</w:t>
      </w:r>
    </w:p>
    <w:p w14:paraId="298FFBC3" w14:textId="65DA63F5" w:rsidR="00DE0D40" w:rsidRDefault="001C5014">
      <w:pPr>
        <w:pStyle w:val="NormalWeb"/>
        <w:numPr>
          <w:ilvl w:val="0"/>
          <w:numId w:val="42"/>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Would strongly benefit from an active audience</w:t>
      </w:r>
      <w:r w:rsidR="00DE0D40">
        <w:rPr>
          <w:rFonts w:asciiTheme="minorHAnsi" w:hAnsiTheme="minorHAnsi" w:cs="Arial"/>
          <w:color w:val="000000"/>
          <w:szCs w:val="22"/>
          <w:lang w:val="en-GB"/>
        </w:rPr>
        <w:t>, capable of sharing their organisations’ situations, problems, and best practices with the other trainees</w:t>
      </w:r>
      <w:r w:rsidR="00A8797D">
        <w:rPr>
          <w:rFonts w:asciiTheme="minorHAnsi" w:hAnsiTheme="minorHAnsi" w:cs="Arial"/>
          <w:color w:val="000000"/>
          <w:szCs w:val="22"/>
          <w:lang w:val="en-GB"/>
        </w:rPr>
        <w:t>.</w:t>
      </w:r>
    </w:p>
    <w:p w14:paraId="06399928" w14:textId="098052C6" w:rsidR="00D05770" w:rsidRDefault="00D05770" w:rsidP="00B43801">
      <w:pPr>
        <w:pStyle w:val="NormalWeb"/>
        <w:numPr>
          <w:ilvl w:val="0"/>
          <w:numId w:val="42"/>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Similarly, it would benefit strongly from case studies of real-world arrangements between controllers and processors if these can be obtained.</w:t>
      </w:r>
    </w:p>
    <w:p w14:paraId="76CA1F59" w14:textId="0BA80A29" w:rsidR="00AF6694" w:rsidRPr="00B43801" w:rsidRDefault="00A8797D" w:rsidP="00B43801">
      <w:pPr>
        <w:pStyle w:val="NormalWeb"/>
        <w:numPr>
          <w:ilvl w:val="0"/>
          <w:numId w:val="42"/>
        </w:numPr>
        <w:spacing w:before="0" w:beforeAutospacing="0" w:after="0" w:afterAutospacing="0"/>
        <w:rPr>
          <w:rFonts w:cs="Arial"/>
          <w:color w:val="000000"/>
          <w:szCs w:val="22"/>
          <w:lang w:val="en-GB"/>
        </w:rPr>
      </w:pPr>
      <w:r w:rsidRPr="00B43801">
        <w:rPr>
          <w:rFonts w:cs="Arial"/>
          <w:color w:val="000000"/>
          <w:szCs w:val="22"/>
          <w:lang w:val="en-GB"/>
        </w:rPr>
        <w:lastRenderedPageBreak/>
        <w:t>This topic is suitable for a Power Point presentation, as well as for a webinar or a practice-based, group case study</w:t>
      </w:r>
      <w:r>
        <w:rPr>
          <w:rFonts w:asciiTheme="minorHAnsi" w:hAnsiTheme="minorHAnsi" w:cs="Arial"/>
          <w:color w:val="000000"/>
          <w:szCs w:val="22"/>
          <w:lang w:val="en-GB"/>
        </w:rPr>
        <w:t>.</w:t>
      </w:r>
    </w:p>
    <w:p w14:paraId="43218C7F" w14:textId="3D9BDF3B" w:rsidR="00AF6694" w:rsidRPr="003C1910" w:rsidRDefault="00AF6694" w:rsidP="00975FB6">
      <w:pPr>
        <w:pStyle w:val="Heading2"/>
        <w:rPr>
          <w:lang w:val="en-GB"/>
        </w:rPr>
      </w:pPr>
      <w:bookmarkStart w:id="17" w:name="_Toc513797489"/>
      <w:r w:rsidRPr="003C1910">
        <w:rPr>
          <w:lang w:val="en-GB"/>
        </w:rPr>
        <w:t xml:space="preserve">Topic </w:t>
      </w:r>
      <w:r w:rsidR="00A70C4D" w:rsidRPr="003C1910">
        <w:rPr>
          <w:lang w:val="en-GB"/>
        </w:rPr>
        <w:t>5</w:t>
      </w:r>
      <w:r w:rsidRPr="003C1910">
        <w:rPr>
          <w:lang w:val="en-GB"/>
        </w:rPr>
        <w:t>: The role of the Data Protection Officer</w:t>
      </w:r>
      <w:bookmarkEnd w:id="17"/>
    </w:p>
    <w:p w14:paraId="7917C504" w14:textId="6AC82F80"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C2998">
        <w:rPr>
          <w:rFonts w:asciiTheme="minorHAnsi" w:hAnsiTheme="minorHAnsi" w:cs="Arial"/>
          <w:color w:val="000000"/>
          <w:szCs w:val="22"/>
          <w:lang w:val="en-GB"/>
        </w:rPr>
        <w:t>Explores o</w:t>
      </w:r>
      <w:r w:rsidR="0051657E" w:rsidRPr="003C1910">
        <w:rPr>
          <w:rFonts w:asciiTheme="minorHAnsi" w:hAnsiTheme="minorHAnsi"/>
          <w:lang w:val="en-GB"/>
        </w:rPr>
        <w:t>ne of the most relevant changes in the new regime</w:t>
      </w:r>
      <w:r w:rsidR="004C2998">
        <w:rPr>
          <w:rFonts w:asciiTheme="minorHAnsi" w:hAnsiTheme="minorHAnsi"/>
          <w:lang w:val="en-GB"/>
        </w:rPr>
        <w:t>, which is</w:t>
      </w:r>
      <w:r w:rsidR="0051657E" w:rsidRPr="003C1910">
        <w:rPr>
          <w:rFonts w:asciiTheme="minorHAnsi" w:hAnsiTheme="minorHAnsi"/>
          <w:lang w:val="en-GB"/>
        </w:rPr>
        <w:t xml:space="preserve"> the obligation for some organisations to appoint a Data Protection Officer (DPO), a corporate role tasked with facilitating compliance with the GDPR provisions.</w:t>
      </w:r>
      <w:r w:rsidR="004C2998">
        <w:rPr>
          <w:rFonts w:asciiTheme="minorHAnsi" w:hAnsiTheme="minorHAnsi"/>
          <w:lang w:val="en-GB"/>
        </w:rPr>
        <w:t xml:space="preserve"> It gives an overview on when and how to appoint one, and what DPOs are tasked with.</w:t>
      </w:r>
    </w:p>
    <w:p w14:paraId="5C399DFD" w14:textId="77777777" w:rsidR="0051657E" w:rsidRPr="003C1910" w:rsidRDefault="0051657E" w:rsidP="00AF6694">
      <w:pPr>
        <w:pStyle w:val="NormalWeb"/>
        <w:spacing w:before="0" w:beforeAutospacing="0" w:after="0" w:afterAutospacing="0"/>
        <w:rPr>
          <w:rFonts w:asciiTheme="minorHAnsi" w:hAnsiTheme="minorHAnsi" w:cs="Arial"/>
          <w:color w:val="000000"/>
          <w:szCs w:val="22"/>
          <w:lang w:val="en-GB"/>
        </w:rPr>
      </w:pPr>
    </w:p>
    <w:p w14:paraId="1FEE2556" w14:textId="29E38DAB"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534807" w:rsidRPr="003C1910">
        <w:rPr>
          <w:rFonts w:asciiTheme="minorHAnsi" w:hAnsiTheme="minorHAnsi" w:cs="Arial"/>
          <w:color w:val="000000"/>
          <w:szCs w:val="22"/>
          <w:lang w:val="en-GB"/>
        </w:rPr>
        <w:t>Responsibilit</w:t>
      </w:r>
      <w:r w:rsidR="004C2998">
        <w:rPr>
          <w:rFonts w:asciiTheme="minorHAnsi" w:hAnsiTheme="minorHAnsi" w:cs="Arial"/>
          <w:color w:val="000000"/>
          <w:szCs w:val="22"/>
          <w:lang w:val="en-GB"/>
        </w:rPr>
        <w:t>y to appoint</w:t>
      </w:r>
      <w:r w:rsidR="0088567F">
        <w:rPr>
          <w:rFonts w:asciiTheme="minorHAnsi" w:hAnsiTheme="minorHAnsi" w:cs="Arial"/>
          <w:color w:val="000000"/>
          <w:szCs w:val="22"/>
          <w:lang w:val="en-GB"/>
        </w:rPr>
        <w:t xml:space="preserve"> a DPO</w:t>
      </w:r>
      <w:r w:rsidRPr="003C1910">
        <w:rPr>
          <w:rFonts w:asciiTheme="minorHAnsi" w:hAnsiTheme="minorHAnsi" w:cs="Arial"/>
          <w:color w:val="000000"/>
          <w:szCs w:val="22"/>
          <w:lang w:val="en-GB"/>
        </w:rPr>
        <w:t>,</w:t>
      </w:r>
      <w:r w:rsidR="0088567F">
        <w:rPr>
          <w:rFonts w:asciiTheme="minorHAnsi" w:hAnsiTheme="minorHAnsi" w:cs="Arial"/>
          <w:color w:val="000000"/>
          <w:szCs w:val="22"/>
          <w:lang w:val="en-GB"/>
        </w:rPr>
        <w:t xml:space="preserve"> background requirements,</w:t>
      </w:r>
      <w:r w:rsidRPr="003C1910">
        <w:rPr>
          <w:rFonts w:asciiTheme="minorHAnsi" w:hAnsiTheme="minorHAnsi" w:cs="Arial"/>
          <w:color w:val="000000"/>
          <w:szCs w:val="22"/>
          <w:lang w:val="en-GB"/>
        </w:rPr>
        <w:t xml:space="preserve"> functions, roles and activities, competencies, </w:t>
      </w:r>
      <w:r w:rsidR="0088567F">
        <w:rPr>
          <w:rFonts w:asciiTheme="minorHAnsi" w:hAnsiTheme="minorHAnsi" w:cs="Arial"/>
          <w:color w:val="000000"/>
          <w:szCs w:val="22"/>
          <w:lang w:val="en-GB"/>
        </w:rPr>
        <w:t xml:space="preserve">liaison with DPAs, </w:t>
      </w:r>
      <w:r w:rsidRPr="003C1910">
        <w:rPr>
          <w:rFonts w:asciiTheme="minorHAnsi" w:hAnsiTheme="minorHAnsi" w:cs="Arial"/>
          <w:color w:val="000000"/>
          <w:szCs w:val="22"/>
          <w:lang w:val="en-GB"/>
        </w:rPr>
        <w:t>outsourcing, training/becom</w:t>
      </w:r>
      <w:r w:rsidR="00D05770">
        <w:rPr>
          <w:rFonts w:asciiTheme="minorHAnsi" w:hAnsiTheme="minorHAnsi" w:cs="Arial"/>
          <w:color w:val="000000"/>
          <w:szCs w:val="22"/>
          <w:lang w:val="en-GB"/>
        </w:rPr>
        <w:t>ing</w:t>
      </w:r>
      <w:r w:rsidRPr="003C1910">
        <w:rPr>
          <w:rFonts w:asciiTheme="minorHAnsi" w:hAnsiTheme="minorHAnsi" w:cs="Arial"/>
          <w:color w:val="000000"/>
          <w:szCs w:val="22"/>
          <w:lang w:val="en-GB"/>
        </w:rPr>
        <w:t xml:space="preserve"> a DPO. </w:t>
      </w:r>
    </w:p>
    <w:p w14:paraId="1C807E9A" w14:textId="77777777" w:rsidR="0051657E" w:rsidRPr="003C1910" w:rsidRDefault="0051657E" w:rsidP="00AF6694">
      <w:pPr>
        <w:pStyle w:val="NormalWeb"/>
        <w:spacing w:before="0" w:beforeAutospacing="0" w:after="0" w:afterAutospacing="0"/>
        <w:rPr>
          <w:rFonts w:asciiTheme="minorHAnsi" w:hAnsiTheme="minorHAnsi" w:cs="Arial"/>
          <w:color w:val="000000"/>
          <w:szCs w:val="22"/>
          <w:lang w:val="en-GB"/>
        </w:rPr>
      </w:pPr>
    </w:p>
    <w:p w14:paraId="0E1B29E3" w14:textId="5C1B853D"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 topic</w:t>
      </w:r>
      <w:r w:rsidR="00D05770">
        <w:rPr>
          <w:rFonts w:asciiTheme="minorHAnsi" w:hAnsiTheme="minorHAnsi" w:cs="Arial"/>
          <w:color w:val="000000"/>
          <w:szCs w:val="22"/>
          <w:lang w:val="en-GB"/>
        </w:rPr>
        <w:t xml:space="preserve"> (DPOs and potential DPOS are looking for high quality training in their role)</w:t>
      </w:r>
      <w:r w:rsidRPr="003C1910">
        <w:rPr>
          <w:rFonts w:asciiTheme="minorHAnsi" w:hAnsiTheme="minorHAnsi" w:cs="Arial"/>
          <w:color w:val="000000"/>
          <w:szCs w:val="22"/>
          <w:lang w:val="en-GB"/>
        </w:rPr>
        <w:t>, DPA priority topic, GDPR novelty</w:t>
      </w:r>
      <w:r w:rsidR="0088567F">
        <w:rPr>
          <w:rFonts w:asciiTheme="minorHAnsi" w:hAnsiTheme="minorHAnsi" w:cs="Arial"/>
          <w:color w:val="000000"/>
          <w:szCs w:val="22"/>
          <w:lang w:val="en-GB"/>
        </w:rPr>
        <w:t>, in need of clarification due to a mixed perception of DPO as an unnecessary cost and a nuisance for management in a company.</w:t>
      </w:r>
    </w:p>
    <w:p w14:paraId="0A8BAC00" w14:textId="77777777" w:rsidR="0051657E" w:rsidRPr="003C1910" w:rsidRDefault="0051657E" w:rsidP="00AF6694">
      <w:pPr>
        <w:pStyle w:val="NormalWeb"/>
        <w:spacing w:before="0" w:beforeAutospacing="0" w:after="0" w:afterAutospacing="0"/>
        <w:rPr>
          <w:rFonts w:asciiTheme="minorHAnsi" w:hAnsiTheme="minorHAnsi" w:cs="Arial"/>
          <w:color w:val="000000"/>
          <w:szCs w:val="22"/>
          <w:lang w:val="en-GB"/>
        </w:rPr>
      </w:pPr>
    </w:p>
    <w:p w14:paraId="4322B48B" w14:textId="1CC845EC" w:rsidR="00AF6694" w:rsidRDefault="00AF6694" w:rsidP="00AF6694">
      <w:pPr>
        <w:pStyle w:val="NormalWeb"/>
        <w:spacing w:before="0" w:beforeAutospacing="0" w:after="0" w:afterAutospacing="0"/>
        <w:rPr>
          <w:rFonts w:asciiTheme="minorHAnsi" w:hAnsiTheme="minorHAnsi" w:cs="Arial"/>
          <w:b/>
          <w:color w:val="000000"/>
          <w:szCs w:val="22"/>
          <w:lang w:val="en-GB"/>
        </w:rPr>
      </w:pPr>
      <w:r w:rsidRPr="003C1910">
        <w:rPr>
          <w:rFonts w:asciiTheme="minorHAnsi" w:hAnsiTheme="minorHAnsi" w:cs="Arial"/>
          <w:b/>
          <w:color w:val="000000"/>
          <w:szCs w:val="22"/>
          <w:lang w:val="en-GB"/>
        </w:rPr>
        <w:t xml:space="preserve">Additional considerations for this topic: </w:t>
      </w:r>
    </w:p>
    <w:p w14:paraId="4A2F341E" w14:textId="1FBDABCC" w:rsidR="0088567F" w:rsidRPr="00B43801" w:rsidRDefault="0088567F" w:rsidP="00B43801">
      <w:pPr>
        <w:pStyle w:val="NormalWeb"/>
        <w:numPr>
          <w:ilvl w:val="0"/>
          <w:numId w:val="43"/>
        </w:numPr>
        <w:spacing w:before="0" w:beforeAutospacing="0" w:after="0" w:afterAutospacing="0"/>
        <w:rPr>
          <w:rFonts w:asciiTheme="minorHAnsi" w:hAnsiTheme="minorHAnsi"/>
          <w:b/>
          <w:lang w:val="en-GB"/>
        </w:rPr>
      </w:pPr>
      <w:r>
        <w:rPr>
          <w:rFonts w:asciiTheme="minorHAnsi" w:hAnsiTheme="minorHAnsi"/>
          <w:lang w:val="en-GB"/>
        </w:rPr>
        <w:t>Needs to be well tailored to avoid mis</w:t>
      </w:r>
      <w:r w:rsidR="00913607">
        <w:rPr>
          <w:rFonts w:asciiTheme="minorHAnsi" w:hAnsiTheme="minorHAnsi"/>
          <w:lang w:val="en-GB"/>
        </w:rPr>
        <w:t xml:space="preserve">understanding with trainees of legal systems in which a DPO was </w:t>
      </w:r>
      <w:r w:rsidR="006E1157">
        <w:rPr>
          <w:rFonts w:asciiTheme="minorHAnsi" w:hAnsiTheme="minorHAnsi"/>
          <w:lang w:val="en-GB"/>
        </w:rPr>
        <w:t>established under national law in the previous regime</w:t>
      </w:r>
    </w:p>
    <w:p w14:paraId="51E67C0D" w14:textId="19BE9FDB" w:rsidR="006E1157" w:rsidRPr="00B43801" w:rsidRDefault="006E1157" w:rsidP="00B43801">
      <w:pPr>
        <w:pStyle w:val="NormalWeb"/>
        <w:numPr>
          <w:ilvl w:val="0"/>
          <w:numId w:val="43"/>
        </w:numPr>
        <w:spacing w:before="0" w:beforeAutospacing="0" w:after="0" w:afterAutospacing="0"/>
        <w:rPr>
          <w:rFonts w:asciiTheme="minorHAnsi" w:hAnsiTheme="minorHAnsi"/>
          <w:b/>
          <w:lang w:val="en-GB"/>
        </w:rPr>
      </w:pPr>
      <w:r>
        <w:rPr>
          <w:rFonts w:asciiTheme="minorHAnsi" w:hAnsiTheme="minorHAnsi"/>
          <w:lang w:val="en-GB"/>
        </w:rPr>
        <w:t>It i</w:t>
      </w:r>
      <w:r w:rsidR="00D05770">
        <w:rPr>
          <w:rFonts w:asciiTheme="minorHAnsi" w:hAnsiTheme="minorHAnsi"/>
          <w:lang w:val="en-GB"/>
        </w:rPr>
        <w:t>s challenging for</w:t>
      </w:r>
      <w:r>
        <w:rPr>
          <w:rFonts w:asciiTheme="minorHAnsi" w:hAnsiTheme="minorHAnsi"/>
          <w:lang w:val="en-GB"/>
        </w:rPr>
        <w:t xml:space="preserve"> case studies and practical examples due to the recent introduction of this figure</w:t>
      </w:r>
    </w:p>
    <w:p w14:paraId="0655E80D" w14:textId="41075A04" w:rsidR="006E1157" w:rsidRPr="006E1157" w:rsidRDefault="00D05770" w:rsidP="00B43801">
      <w:pPr>
        <w:pStyle w:val="NormalWeb"/>
        <w:numPr>
          <w:ilvl w:val="0"/>
          <w:numId w:val="43"/>
        </w:numPr>
        <w:spacing w:before="0" w:beforeAutospacing="0" w:after="0" w:afterAutospacing="0"/>
        <w:rPr>
          <w:rFonts w:asciiTheme="minorHAnsi" w:hAnsiTheme="minorHAnsi"/>
          <w:b/>
          <w:lang w:val="en-GB"/>
        </w:rPr>
      </w:pPr>
      <w:r>
        <w:rPr>
          <w:rFonts w:asciiTheme="minorHAnsi" w:hAnsiTheme="minorHAnsi"/>
          <w:lang w:val="en-GB"/>
        </w:rPr>
        <w:t>Suitable</w:t>
      </w:r>
      <w:r w:rsidR="00D12D73">
        <w:rPr>
          <w:rFonts w:asciiTheme="minorHAnsi" w:hAnsiTheme="minorHAnsi"/>
          <w:lang w:val="en-GB"/>
        </w:rPr>
        <w:t xml:space="preserve"> for a Power Point presentation and for a webinar.</w:t>
      </w:r>
    </w:p>
    <w:p w14:paraId="2575127D" w14:textId="77777777" w:rsidR="00AF6694" w:rsidRPr="003C1910" w:rsidRDefault="00AF6694" w:rsidP="00AF6694">
      <w:pPr>
        <w:rPr>
          <w:lang w:val="en-GB"/>
        </w:rPr>
      </w:pPr>
    </w:p>
    <w:p w14:paraId="1752FEA8" w14:textId="7EB0EE2F" w:rsidR="00AF6694" w:rsidRPr="003C1910" w:rsidRDefault="00AF6694" w:rsidP="00975FB6">
      <w:pPr>
        <w:pStyle w:val="Heading2"/>
        <w:rPr>
          <w:lang w:val="en-GB"/>
        </w:rPr>
      </w:pPr>
      <w:bookmarkStart w:id="18" w:name="_Toc513797490"/>
      <w:r w:rsidRPr="003C1910">
        <w:rPr>
          <w:lang w:val="en-GB"/>
        </w:rPr>
        <w:t xml:space="preserve">Topic </w:t>
      </w:r>
      <w:r w:rsidR="00A70C4D" w:rsidRPr="003C1910">
        <w:rPr>
          <w:lang w:val="en-GB"/>
        </w:rPr>
        <w:t>6</w:t>
      </w:r>
      <w:r w:rsidRPr="003C1910">
        <w:rPr>
          <w:lang w:val="en-GB"/>
        </w:rPr>
        <w:t>: The role of the Data Protection Authority</w:t>
      </w:r>
      <w:bookmarkEnd w:id="18"/>
    </w:p>
    <w:p w14:paraId="6600442D" w14:textId="27D73092"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 xml:space="preserve">Explores the role and responsibilities of the key regulator under the GDPR, the Data protection authority. How can the DPA be of assistance to other data protection professionals? Trainees will be able to understand the role of the DPA and how it likely interacts with their organization, how best to approach and work with the DPA and what can be expected of it. </w:t>
      </w:r>
    </w:p>
    <w:p w14:paraId="3727636A" w14:textId="77777777" w:rsidR="006E3F04" w:rsidRPr="003C1910" w:rsidRDefault="006E3F04" w:rsidP="00AF6694">
      <w:pPr>
        <w:pStyle w:val="NormalWeb"/>
        <w:spacing w:before="0" w:beforeAutospacing="0" w:after="0" w:afterAutospacing="0"/>
        <w:rPr>
          <w:rFonts w:asciiTheme="minorHAnsi" w:hAnsiTheme="minorHAnsi" w:cs="Arial"/>
          <w:b/>
          <w:color w:val="000000"/>
          <w:szCs w:val="22"/>
          <w:lang w:val="en-GB"/>
        </w:rPr>
      </w:pPr>
    </w:p>
    <w:p w14:paraId="334467B0" w14:textId="67C6B419"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R</w:t>
      </w:r>
      <w:r w:rsidRPr="003C1910">
        <w:rPr>
          <w:rFonts w:asciiTheme="minorHAnsi" w:hAnsiTheme="minorHAnsi" w:cs="Arial"/>
          <w:color w:val="000000"/>
          <w:szCs w:val="22"/>
          <w:lang w:val="en-GB"/>
        </w:rPr>
        <w:t>oles and powers</w:t>
      </w:r>
      <w:r w:rsidR="005A31D5">
        <w:rPr>
          <w:rFonts w:asciiTheme="minorHAnsi" w:hAnsiTheme="minorHAnsi" w:cs="Arial"/>
          <w:color w:val="000000"/>
          <w:szCs w:val="22"/>
          <w:lang w:val="en-GB"/>
        </w:rPr>
        <w:t xml:space="preserve"> of DPAs</w:t>
      </w:r>
      <w:r w:rsidRPr="003C1910">
        <w:rPr>
          <w:rFonts w:asciiTheme="minorHAnsi" w:hAnsiTheme="minorHAnsi" w:cs="Arial"/>
          <w:color w:val="000000"/>
          <w:szCs w:val="22"/>
          <w:lang w:val="en-GB"/>
        </w:rPr>
        <w:t>, EDPB</w:t>
      </w:r>
      <w:r w:rsidR="005A31D5">
        <w:rPr>
          <w:rFonts w:asciiTheme="minorHAnsi" w:hAnsiTheme="minorHAnsi" w:cs="Arial"/>
          <w:color w:val="000000"/>
          <w:szCs w:val="22"/>
          <w:lang w:val="en-GB"/>
        </w:rPr>
        <w:t xml:space="preserve"> composition, function, and legal powers</w:t>
      </w:r>
      <w:r w:rsidRPr="003C1910">
        <w:rPr>
          <w:rFonts w:asciiTheme="minorHAnsi" w:hAnsiTheme="minorHAnsi" w:cs="Arial"/>
          <w:color w:val="000000"/>
          <w:szCs w:val="22"/>
          <w:lang w:val="en-GB"/>
        </w:rPr>
        <w:t>, one-stop-shop</w:t>
      </w:r>
      <w:r w:rsidR="006E3F04" w:rsidRPr="003C1910">
        <w:rPr>
          <w:rFonts w:asciiTheme="minorHAnsi" w:hAnsiTheme="minorHAnsi" w:cs="Arial"/>
          <w:color w:val="000000"/>
          <w:szCs w:val="22"/>
          <w:lang w:val="en-GB"/>
        </w:rPr>
        <w:t xml:space="preserve"> principle</w:t>
      </w:r>
      <w:r w:rsidRPr="003C1910">
        <w:rPr>
          <w:rFonts w:asciiTheme="minorHAnsi" w:hAnsiTheme="minorHAnsi" w:cs="Arial"/>
          <w:color w:val="000000"/>
          <w:szCs w:val="22"/>
          <w:lang w:val="en-GB"/>
        </w:rPr>
        <w:t>, sanctions and enforcement</w:t>
      </w:r>
      <w:r w:rsidR="00A94504" w:rsidRPr="003C1910">
        <w:rPr>
          <w:rFonts w:asciiTheme="minorHAnsi" w:hAnsiTheme="minorHAnsi" w:cs="Arial"/>
          <w:color w:val="000000"/>
          <w:szCs w:val="22"/>
          <w:lang w:val="en-GB"/>
        </w:rPr>
        <w:t xml:space="preserve">, international dimension of the DPA role. </w:t>
      </w:r>
      <w:r w:rsidR="006E3F04" w:rsidRPr="003C1910">
        <w:rPr>
          <w:rFonts w:asciiTheme="minorHAnsi" w:hAnsiTheme="minorHAnsi" w:cs="Arial"/>
          <w:color w:val="000000"/>
          <w:szCs w:val="22"/>
          <w:lang w:val="en-GB"/>
        </w:rPr>
        <w:t xml:space="preserve">DPA/DPA relations. </w:t>
      </w:r>
    </w:p>
    <w:p w14:paraId="75A763D3" w14:textId="77777777" w:rsidR="006E3F04" w:rsidRPr="003C1910" w:rsidRDefault="006E3F04" w:rsidP="00AF6694">
      <w:pPr>
        <w:pStyle w:val="NormalWeb"/>
        <w:spacing w:before="0" w:beforeAutospacing="0" w:after="0" w:afterAutospacing="0"/>
        <w:rPr>
          <w:rFonts w:asciiTheme="minorHAnsi" w:hAnsiTheme="minorHAnsi" w:cs="Arial"/>
          <w:b/>
          <w:color w:val="000000"/>
          <w:szCs w:val="22"/>
          <w:lang w:val="en-GB"/>
        </w:rPr>
      </w:pPr>
    </w:p>
    <w:p w14:paraId="624A8FA5" w14:textId="4514FBA9"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DPA priority</w:t>
      </w:r>
      <w:r w:rsidR="006E3F04" w:rsidRPr="003C1910">
        <w:rPr>
          <w:rFonts w:asciiTheme="minorHAnsi" w:hAnsiTheme="minorHAnsi" w:cs="Arial"/>
          <w:color w:val="000000"/>
          <w:szCs w:val="22"/>
          <w:lang w:val="en-GB"/>
        </w:rPr>
        <w:t xml:space="preserve"> topic</w:t>
      </w:r>
      <w:r w:rsidR="005A31D5">
        <w:rPr>
          <w:rFonts w:asciiTheme="minorHAnsi" w:hAnsiTheme="minorHAnsi" w:cs="Arial"/>
          <w:color w:val="000000"/>
          <w:szCs w:val="22"/>
          <w:lang w:val="en-GB"/>
        </w:rPr>
        <w:t>, mainly useful for DPOs to ensure that organisation’s officers are aware of the support DPAs can give them and that sanctions are not their only prerogative</w:t>
      </w:r>
    </w:p>
    <w:p w14:paraId="673EB3A3" w14:textId="77777777" w:rsidR="006E3F04" w:rsidRPr="003C1910" w:rsidRDefault="006E3F04" w:rsidP="00AF6694">
      <w:pPr>
        <w:pStyle w:val="NormalWeb"/>
        <w:spacing w:before="0" w:beforeAutospacing="0" w:after="0" w:afterAutospacing="0"/>
        <w:rPr>
          <w:rFonts w:asciiTheme="minorHAnsi" w:hAnsiTheme="minorHAnsi" w:cs="Arial"/>
          <w:b/>
          <w:color w:val="000000"/>
          <w:szCs w:val="22"/>
          <w:lang w:val="en-GB"/>
        </w:rPr>
      </w:pPr>
    </w:p>
    <w:p w14:paraId="61759C6F" w14:textId="31AD7A6F" w:rsidR="00AF6694" w:rsidRPr="003C1910" w:rsidRDefault="00AF6694" w:rsidP="00AF6694">
      <w:pPr>
        <w:pStyle w:val="NormalWeb"/>
        <w:spacing w:before="0" w:beforeAutospacing="0" w:after="0" w:afterAutospacing="0"/>
        <w:rPr>
          <w:rFonts w:asciiTheme="minorHAnsi" w:hAnsiTheme="minorHAnsi"/>
          <w:b/>
          <w:lang w:val="en-GB"/>
        </w:rPr>
      </w:pPr>
      <w:r w:rsidRPr="003C1910">
        <w:rPr>
          <w:rFonts w:asciiTheme="minorHAnsi" w:hAnsiTheme="minorHAnsi" w:cs="Arial"/>
          <w:b/>
          <w:color w:val="000000"/>
          <w:szCs w:val="22"/>
          <w:lang w:val="en-GB"/>
        </w:rPr>
        <w:t>Additional considerations for this topic:</w:t>
      </w:r>
    </w:p>
    <w:p w14:paraId="77FF32F3" w14:textId="4F671867" w:rsidR="00AF6694" w:rsidRPr="003C1910" w:rsidRDefault="006E3F04" w:rsidP="00AF6694">
      <w:pPr>
        <w:pStyle w:val="NormalWeb"/>
        <w:numPr>
          <w:ilvl w:val="0"/>
          <w:numId w:val="29"/>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We anticipate that </w:t>
      </w:r>
      <w:r w:rsidR="00AF6694" w:rsidRPr="003C1910">
        <w:rPr>
          <w:rFonts w:asciiTheme="minorHAnsi" w:hAnsiTheme="minorHAnsi" w:cs="Arial"/>
          <w:color w:val="000000"/>
          <w:szCs w:val="22"/>
          <w:lang w:val="en-GB"/>
        </w:rPr>
        <w:t xml:space="preserve">DPAs will probably </w:t>
      </w:r>
      <w:r w:rsidRPr="003C1910">
        <w:rPr>
          <w:rFonts w:asciiTheme="minorHAnsi" w:hAnsiTheme="minorHAnsi" w:cs="Arial"/>
          <w:color w:val="000000"/>
          <w:szCs w:val="22"/>
          <w:lang w:val="en-GB"/>
        </w:rPr>
        <w:t xml:space="preserve">either </w:t>
      </w:r>
      <w:r w:rsidR="00AF6694" w:rsidRPr="003C1910">
        <w:rPr>
          <w:rFonts w:asciiTheme="minorHAnsi" w:hAnsiTheme="minorHAnsi" w:cs="Arial"/>
          <w:color w:val="000000"/>
          <w:szCs w:val="22"/>
          <w:lang w:val="en-GB"/>
        </w:rPr>
        <w:t>not</w:t>
      </w:r>
      <w:r w:rsidRPr="003C1910">
        <w:rPr>
          <w:rFonts w:asciiTheme="minorHAnsi" w:hAnsiTheme="minorHAnsi" w:cs="Arial"/>
          <w:color w:val="000000"/>
          <w:szCs w:val="22"/>
          <w:lang w:val="en-GB"/>
        </w:rPr>
        <w:t xml:space="preserve"> use this presentation or that they will heavily customize it according to their own institutional perspective and strategies. However, DPOs will benefit from the overview and a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neutral</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source might be valued. </w:t>
      </w:r>
    </w:p>
    <w:p w14:paraId="1452924F" w14:textId="27C0DE09" w:rsidR="00AF6694" w:rsidRDefault="006E3F04" w:rsidP="00AF6694">
      <w:pPr>
        <w:pStyle w:val="NormalWeb"/>
        <w:numPr>
          <w:ilvl w:val="0"/>
          <w:numId w:val="29"/>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This training material can benefit from a c</w:t>
      </w:r>
      <w:r w:rsidR="00AF6694" w:rsidRPr="003C1910">
        <w:rPr>
          <w:rFonts w:asciiTheme="minorHAnsi" w:hAnsiTheme="minorHAnsi" w:cs="Arial"/>
          <w:color w:val="000000"/>
          <w:szCs w:val="22"/>
          <w:lang w:val="en-GB"/>
        </w:rPr>
        <w:t xml:space="preserve">onnection to </w:t>
      </w:r>
      <w:r w:rsidRPr="003C1910">
        <w:rPr>
          <w:rFonts w:asciiTheme="minorHAnsi" w:hAnsiTheme="minorHAnsi" w:cs="Arial"/>
          <w:color w:val="000000"/>
          <w:szCs w:val="22"/>
          <w:lang w:val="en-GB"/>
        </w:rPr>
        <w:t xml:space="preserve">the </w:t>
      </w:r>
      <w:r w:rsidR="00AF6694" w:rsidRPr="003C1910">
        <w:rPr>
          <w:rFonts w:asciiTheme="minorHAnsi" w:hAnsiTheme="minorHAnsi" w:cs="Arial"/>
          <w:color w:val="000000"/>
          <w:szCs w:val="22"/>
          <w:lang w:val="en-GB"/>
        </w:rPr>
        <w:t>STAR II</w:t>
      </w:r>
      <w:r w:rsidRPr="003C1910">
        <w:rPr>
          <w:rFonts w:asciiTheme="minorHAnsi" w:hAnsiTheme="minorHAnsi" w:cs="Arial"/>
          <w:color w:val="000000"/>
          <w:szCs w:val="22"/>
          <w:lang w:val="en-GB"/>
        </w:rPr>
        <w:t xml:space="preserve"> project, showing how </w:t>
      </w:r>
      <w:r w:rsidR="00AF6694" w:rsidRPr="003C1910">
        <w:rPr>
          <w:rFonts w:asciiTheme="minorHAnsi" w:hAnsiTheme="minorHAnsi" w:cs="Arial"/>
          <w:color w:val="000000"/>
          <w:szCs w:val="22"/>
          <w:lang w:val="en-GB"/>
        </w:rPr>
        <w:t>DPA</w:t>
      </w:r>
      <w:r w:rsidRPr="003C1910">
        <w:rPr>
          <w:rFonts w:asciiTheme="minorHAnsi" w:hAnsiTheme="minorHAnsi" w:cs="Arial"/>
          <w:color w:val="000000"/>
          <w:szCs w:val="22"/>
          <w:lang w:val="en-GB"/>
        </w:rPr>
        <w:t>s</w:t>
      </w:r>
      <w:r w:rsidR="00AF6694" w:rsidRPr="003C1910">
        <w:rPr>
          <w:rFonts w:asciiTheme="minorHAnsi" w:hAnsiTheme="minorHAnsi" w:cs="Arial"/>
          <w:color w:val="000000"/>
          <w:szCs w:val="22"/>
          <w:lang w:val="en-GB"/>
        </w:rPr>
        <w:t xml:space="preserve"> not only there to supervise/sanction, but can also help</w:t>
      </w:r>
      <w:r w:rsidRPr="003C1910">
        <w:rPr>
          <w:rFonts w:asciiTheme="minorHAnsi" w:hAnsiTheme="minorHAnsi" w:cs="Arial"/>
          <w:color w:val="000000"/>
          <w:szCs w:val="22"/>
          <w:lang w:val="en-GB"/>
        </w:rPr>
        <w:t xml:space="preserve"> (for example in the context of providing advice to SMEs). </w:t>
      </w:r>
    </w:p>
    <w:p w14:paraId="2D12BEBC" w14:textId="29760930" w:rsidR="00AE71DE" w:rsidRPr="003C1910" w:rsidRDefault="00AE71DE" w:rsidP="00AF6694">
      <w:pPr>
        <w:pStyle w:val="NormalWeb"/>
        <w:numPr>
          <w:ilvl w:val="0"/>
          <w:numId w:val="29"/>
        </w:numPr>
        <w:spacing w:before="0" w:beforeAutospacing="0" w:after="0" w:afterAutospacing="0"/>
        <w:textAlignment w:val="baseline"/>
        <w:rPr>
          <w:rFonts w:asciiTheme="minorHAnsi" w:hAnsiTheme="minorHAnsi" w:cs="Arial"/>
          <w:color w:val="000000"/>
          <w:szCs w:val="22"/>
          <w:lang w:val="en-GB"/>
        </w:rPr>
      </w:pPr>
      <w:r>
        <w:rPr>
          <w:rFonts w:asciiTheme="minorHAnsi" w:hAnsiTheme="minorHAnsi" w:cs="Arial"/>
          <w:color w:val="000000"/>
          <w:szCs w:val="22"/>
          <w:lang w:val="en-GB"/>
        </w:rPr>
        <w:t>Adequate for Power Point presentation or webinar. Also adequate for a video.</w:t>
      </w:r>
    </w:p>
    <w:p w14:paraId="3EC3A842" w14:textId="77777777" w:rsidR="00AF6694" w:rsidRPr="003C1910" w:rsidRDefault="00AF6694" w:rsidP="00AF6694">
      <w:pPr>
        <w:rPr>
          <w:rFonts w:ascii="Times New Roman" w:hAnsi="Times New Roman" w:cs="Times New Roman"/>
          <w:sz w:val="24"/>
          <w:lang w:val="en-GB"/>
        </w:rPr>
      </w:pPr>
    </w:p>
    <w:p w14:paraId="5FA7EC79" w14:textId="09886BFB" w:rsidR="0051657E" w:rsidRPr="00AE71DE" w:rsidRDefault="00AF6694" w:rsidP="00B43801">
      <w:pPr>
        <w:pStyle w:val="Heading2"/>
        <w:rPr>
          <w:lang w:val="en-GB"/>
        </w:rPr>
      </w:pPr>
      <w:bookmarkStart w:id="19" w:name="_Toc513797491"/>
      <w:r w:rsidRPr="00AE71DE">
        <w:rPr>
          <w:lang w:val="en-GB"/>
        </w:rPr>
        <w:t xml:space="preserve">Topic </w:t>
      </w:r>
      <w:r w:rsidR="00A70C4D" w:rsidRPr="00AE71DE">
        <w:rPr>
          <w:lang w:val="en-GB"/>
        </w:rPr>
        <w:t>7</w:t>
      </w:r>
      <w:r w:rsidRPr="00AE71DE">
        <w:rPr>
          <w:lang w:val="en-GB"/>
        </w:rPr>
        <w:t xml:space="preserve">: </w:t>
      </w:r>
      <w:r w:rsidR="0051657E" w:rsidRPr="00AE71DE">
        <w:rPr>
          <w:lang w:val="en-GB"/>
        </w:rPr>
        <w:t xml:space="preserve">Data protection in practice: </w:t>
      </w:r>
      <w:r w:rsidRPr="00AE71DE">
        <w:rPr>
          <w:lang w:val="en-GB"/>
        </w:rPr>
        <w:t>Technical and organisational measures for data protection</w:t>
      </w:r>
    </w:p>
    <w:bookmarkEnd w:id="19"/>
    <w:p w14:paraId="6212F7E7" w14:textId="4E9B5B3D" w:rsidR="00AF6694" w:rsidRPr="00B43801" w:rsidRDefault="00AF6694" w:rsidP="00AE71DE">
      <w:pPr>
        <w:rPr>
          <w:rFonts w:cs="Arial"/>
          <w:color w:val="000000"/>
          <w:szCs w:val="22"/>
          <w:lang w:val="en-GB"/>
        </w:rPr>
      </w:pPr>
      <w:r w:rsidRPr="00B43801">
        <w:rPr>
          <w:rFonts w:cs="Arial"/>
          <w:b/>
          <w:color w:val="000000"/>
          <w:szCs w:val="22"/>
          <w:lang w:val="en-GB"/>
        </w:rPr>
        <w:t xml:space="preserve">Summary: </w:t>
      </w:r>
      <w:r w:rsidR="00242BC8">
        <w:rPr>
          <w:rFonts w:cs="Arial"/>
          <w:color w:val="000000"/>
          <w:szCs w:val="22"/>
          <w:lang w:val="en-GB"/>
        </w:rPr>
        <w:t xml:space="preserve">explores one of the main subtopics of the responsibilities of data controllers and processors to give depth to one of the main instruments to ensure compliance with the new system, equipping trainees with the adequate knowledge to </w:t>
      </w:r>
      <w:r w:rsidR="00077AE5">
        <w:rPr>
          <w:rFonts w:cs="Arial"/>
          <w:color w:val="000000"/>
          <w:szCs w:val="22"/>
          <w:lang w:val="en-GB"/>
        </w:rPr>
        <w:t>direct the implementation of these measures by technical experts in their organisation.</w:t>
      </w:r>
    </w:p>
    <w:p w14:paraId="0CBD3EE6" w14:textId="521533E7"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 xml:space="preserve">Security of processing, </w:t>
      </w:r>
      <w:r w:rsidR="0051657E" w:rsidRPr="003C1910">
        <w:rPr>
          <w:rFonts w:asciiTheme="minorHAnsi" w:hAnsiTheme="minorHAnsi" w:cs="Arial"/>
          <w:color w:val="000000"/>
          <w:szCs w:val="22"/>
          <w:lang w:val="en-GB"/>
        </w:rPr>
        <w:t xml:space="preserve">information security, data minimization, anonymization, privacy by design, </w:t>
      </w:r>
      <w:r w:rsidR="00077AE5">
        <w:rPr>
          <w:rFonts w:asciiTheme="minorHAnsi" w:hAnsiTheme="minorHAnsi" w:cs="Arial"/>
          <w:color w:val="000000"/>
          <w:szCs w:val="22"/>
          <w:lang w:val="en-GB"/>
        </w:rPr>
        <w:t>encryption, protection from intrusion, protection from loss, audit, penetration testing,</w:t>
      </w:r>
      <w:r w:rsidR="0051657E" w:rsidRPr="003C1910">
        <w:rPr>
          <w:rFonts w:asciiTheme="minorHAnsi" w:hAnsiTheme="minorHAnsi" w:cs="Arial"/>
          <w:color w:val="000000"/>
          <w:szCs w:val="22"/>
          <w:lang w:val="en-GB"/>
        </w:rPr>
        <w:t xml:space="preserve"> </w:t>
      </w:r>
      <w:r w:rsidR="00077AE5">
        <w:rPr>
          <w:rFonts w:asciiTheme="minorHAnsi" w:hAnsiTheme="minorHAnsi" w:cs="Arial"/>
          <w:color w:val="000000"/>
          <w:szCs w:val="22"/>
          <w:lang w:val="en-GB"/>
        </w:rPr>
        <w:t>how these measures impact liability.</w:t>
      </w:r>
    </w:p>
    <w:p w14:paraId="63BAA489" w14:textId="77777777" w:rsidR="00A70C4D" w:rsidRPr="003C1910" w:rsidRDefault="00A70C4D" w:rsidP="00AF6694">
      <w:pPr>
        <w:pStyle w:val="NormalWeb"/>
        <w:spacing w:before="0" w:beforeAutospacing="0" w:after="0" w:afterAutospacing="0"/>
        <w:rPr>
          <w:rFonts w:asciiTheme="minorHAnsi" w:hAnsiTheme="minorHAnsi" w:cs="Arial"/>
          <w:b/>
          <w:color w:val="000000"/>
          <w:szCs w:val="22"/>
          <w:lang w:val="en-GB"/>
        </w:rPr>
      </w:pPr>
    </w:p>
    <w:p w14:paraId="5322B932" w14:textId="44BE74F7"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w:t>
      </w:r>
      <w:r w:rsidR="00077AE5">
        <w:rPr>
          <w:rFonts w:asciiTheme="minorHAnsi" w:hAnsiTheme="minorHAnsi" w:cs="Arial"/>
          <w:color w:val="000000"/>
          <w:szCs w:val="22"/>
          <w:lang w:val="en-GB"/>
        </w:rPr>
        <w:t xml:space="preserve">, </w:t>
      </w:r>
      <w:r w:rsidR="000041F1">
        <w:rPr>
          <w:rFonts w:asciiTheme="minorHAnsi" w:hAnsiTheme="minorHAnsi" w:cs="Arial"/>
          <w:color w:val="000000"/>
          <w:szCs w:val="22"/>
          <w:lang w:val="en-GB"/>
        </w:rPr>
        <w:t>key importance to ensure the safeguard of the rights and freedoms of data subjects, operational cornerstone.</w:t>
      </w:r>
    </w:p>
    <w:p w14:paraId="192AE601" w14:textId="77777777" w:rsidR="00A70C4D" w:rsidRPr="003C1910" w:rsidRDefault="00A70C4D" w:rsidP="00AF6694">
      <w:pPr>
        <w:pStyle w:val="NormalWeb"/>
        <w:spacing w:before="0" w:beforeAutospacing="0" w:after="0" w:afterAutospacing="0"/>
        <w:rPr>
          <w:rFonts w:asciiTheme="minorHAnsi" w:hAnsiTheme="minorHAnsi" w:cs="Arial"/>
          <w:b/>
          <w:color w:val="000000"/>
          <w:szCs w:val="22"/>
          <w:lang w:val="en-GB"/>
        </w:rPr>
      </w:pPr>
    </w:p>
    <w:p w14:paraId="7627A37B" w14:textId="16E5DB66" w:rsidR="00AF6694" w:rsidRPr="003C1910" w:rsidRDefault="00AF6694" w:rsidP="00AF6694">
      <w:pPr>
        <w:pStyle w:val="NormalWeb"/>
        <w:spacing w:before="0" w:beforeAutospacing="0" w:after="0" w:afterAutospacing="0"/>
        <w:rPr>
          <w:rFonts w:asciiTheme="minorHAnsi" w:hAnsiTheme="minorHAnsi" w:cs="Arial"/>
          <w:b/>
          <w:color w:val="000000"/>
          <w:szCs w:val="22"/>
          <w:lang w:val="en-GB"/>
        </w:rPr>
      </w:pPr>
      <w:r w:rsidRPr="003C1910">
        <w:rPr>
          <w:rFonts w:asciiTheme="minorHAnsi" w:hAnsiTheme="minorHAnsi" w:cs="Arial"/>
          <w:b/>
          <w:color w:val="000000"/>
          <w:szCs w:val="22"/>
          <w:lang w:val="en-GB"/>
        </w:rPr>
        <w:t>Additional considerations for this topic:</w:t>
      </w:r>
    </w:p>
    <w:p w14:paraId="0B1E834B" w14:textId="5999F62E" w:rsidR="0051657E" w:rsidRPr="00B43801" w:rsidRDefault="0051657E" w:rsidP="0051657E">
      <w:pPr>
        <w:pStyle w:val="NormalWeb"/>
        <w:numPr>
          <w:ilvl w:val="0"/>
          <w:numId w:val="41"/>
        </w:numPr>
        <w:spacing w:before="0" w:beforeAutospacing="0" w:after="0" w:afterAutospacing="0"/>
        <w:rPr>
          <w:rFonts w:asciiTheme="minorHAnsi" w:hAnsiTheme="minorHAnsi"/>
          <w:lang w:val="en-GB"/>
        </w:rPr>
      </w:pPr>
      <w:r w:rsidRPr="003C1910">
        <w:rPr>
          <w:rFonts w:asciiTheme="minorHAnsi" w:hAnsiTheme="minorHAnsi"/>
          <w:lang w:val="en-GB"/>
        </w:rPr>
        <w:t xml:space="preserve">Should be </w:t>
      </w:r>
      <w:r w:rsidRPr="003C1910">
        <w:rPr>
          <w:rFonts w:asciiTheme="minorHAnsi" w:hAnsiTheme="minorHAnsi" w:cs="Arial"/>
          <w:color w:val="000000"/>
          <w:szCs w:val="22"/>
          <w:lang w:val="en-GB"/>
        </w:rPr>
        <w:t>specific, case-based.</w:t>
      </w:r>
    </w:p>
    <w:p w14:paraId="0286235F" w14:textId="0D9D0B7A" w:rsidR="000041F1" w:rsidRDefault="000041F1" w:rsidP="0051657E">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It should bring practical help to companies, including forms, excel matrixes, etc.</w:t>
      </w:r>
    </w:p>
    <w:p w14:paraId="5CCE0AD4" w14:textId="011FC5BD" w:rsidR="000041F1" w:rsidRDefault="000041F1" w:rsidP="0051657E">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Inadequate for a single power point presentation or a video or a webinar. Adequate for a combination of ppt, auxiliary documents, and group knowledge sharing.</w:t>
      </w:r>
    </w:p>
    <w:p w14:paraId="3AF19C88" w14:textId="127506B4" w:rsidR="00D05770" w:rsidRPr="003C1910" w:rsidRDefault="00D05770" w:rsidP="0051657E">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 xml:space="preserve">Will make significant use of other existing </w:t>
      </w:r>
      <w:r w:rsidR="00C00AAF">
        <w:rPr>
          <w:rFonts w:asciiTheme="minorHAnsi" w:hAnsiTheme="minorHAnsi"/>
          <w:lang w:val="en-GB"/>
        </w:rPr>
        <w:t>instruments</w:t>
      </w:r>
      <w:r>
        <w:rPr>
          <w:rFonts w:asciiTheme="minorHAnsi" w:hAnsiTheme="minorHAnsi"/>
          <w:lang w:val="en-GB"/>
        </w:rPr>
        <w:t xml:space="preserve"> – e.g. ISO standards for information security and similar. </w:t>
      </w:r>
    </w:p>
    <w:p w14:paraId="69B78A3C" w14:textId="77777777" w:rsidR="00AF6694" w:rsidRPr="003C1910" w:rsidRDefault="00AF6694" w:rsidP="00AF6694">
      <w:pPr>
        <w:rPr>
          <w:lang w:val="en-GB"/>
        </w:rPr>
      </w:pPr>
    </w:p>
    <w:p w14:paraId="413F1702" w14:textId="54119A25" w:rsidR="00AF6694" w:rsidRPr="003C1910" w:rsidRDefault="00AF6694" w:rsidP="00975FB6">
      <w:pPr>
        <w:pStyle w:val="Heading2"/>
        <w:rPr>
          <w:lang w:val="en-GB"/>
        </w:rPr>
      </w:pPr>
      <w:bookmarkStart w:id="20" w:name="_Toc513797492"/>
      <w:r w:rsidRPr="003C1910">
        <w:rPr>
          <w:lang w:val="en-GB"/>
        </w:rPr>
        <w:t xml:space="preserve">Topic </w:t>
      </w:r>
      <w:r w:rsidR="00A70C4D" w:rsidRPr="003C1910">
        <w:rPr>
          <w:lang w:val="en-GB"/>
        </w:rPr>
        <w:t>8</w:t>
      </w:r>
      <w:r w:rsidRPr="003C1910">
        <w:rPr>
          <w:lang w:val="en-GB"/>
        </w:rPr>
        <w:t>: Risk based approach in the GDPR</w:t>
      </w:r>
      <w:bookmarkEnd w:id="20"/>
      <w:r w:rsidRPr="003C1910">
        <w:rPr>
          <w:lang w:val="en-GB"/>
        </w:rPr>
        <w:t xml:space="preserve"> </w:t>
      </w:r>
    </w:p>
    <w:p w14:paraId="2C628131" w14:textId="2E8EDC71" w:rsidR="00AF6694" w:rsidRDefault="00AF6694" w:rsidP="00AF6694">
      <w:pPr>
        <w:pStyle w:val="NormalWeb"/>
        <w:spacing w:before="0" w:beforeAutospacing="0" w:after="0" w:afterAutospacing="0"/>
        <w:rPr>
          <w:rFonts w:asciiTheme="minorHAnsi" w:hAnsiTheme="minorHAnsi" w:cs="Arial"/>
          <w:b/>
          <w:color w:val="000000"/>
          <w:szCs w:val="22"/>
          <w:lang w:val="en-GB"/>
        </w:rPr>
      </w:pPr>
      <w:r w:rsidRPr="00B43801">
        <w:rPr>
          <w:rFonts w:asciiTheme="minorHAnsi" w:hAnsiTheme="minorHAnsi" w:cs="Arial"/>
          <w:b/>
          <w:color w:val="000000"/>
          <w:szCs w:val="22"/>
          <w:lang w:val="en-GB"/>
        </w:rPr>
        <w:t xml:space="preserve">Summary: </w:t>
      </w:r>
      <w:r w:rsidR="00E6272F">
        <w:rPr>
          <w:rFonts w:asciiTheme="minorHAnsi" w:hAnsiTheme="minorHAnsi" w:cs="Arial"/>
          <w:b/>
          <w:color w:val="000000"/>
          <w:szCs w:val="22"/>
          <w:lang w:val="en-GB"/>
        </w:rPr>
        <w:t xml:space="preserve">Explores the </w:t>
      </w:r>
      <w:r w:rsidRPr="00B43801">
        <w:rPr>
          <w:rFonts w:asciiTheme="minorHAnsi" w:hAnsiTheme="minorHAnsi" w:cs="Arial"/>
          <w:color w:val="000000"/>
          <w:szCs w:val="22"/>
          <w:lang w:val="en-GB"/>
        </w:rPr>
        <w:t xml:space="preserve">change of approach </w:t>
      </w:r>
      <w:r w:rsidR="00E6272F">
        <w:rPr>
          <w:rFonts w:asciiTheme="minorHAnsi" w:hAnsiTheme="minorHAnsi" w:cs="Arial"/>
          <w:color w:val="000000"/>
          <w:szCs w:val="22"/>
          <w:lang w:val="en-GB"/>
        </w:rPr>
        <w:t>and culture in public and private organisations.</w:t>
      </w:r>
      <w:r w:rsidRPr="00B43801">
        <w:rPr>
          <w:rFonts w:asciiTheme="minorHAnsi" w:hAnsiTheme="minorHAnsi" w:cs="Arial"/>
          <w:color w:val="000000"/>
          <w:szCs w:val="22"/>
          <w:lang w:val="en-GB"/>
        </w:rPr>
        <w:t xml:space="preserve"> Changing corporate cultures around processing of personal data. How does DPIA fit in. Ethics and correct approaches beyond, simple compliance.</w:t>
      </w:r>
      <w:r w:rsidRPr="00B43801">
        <w:rPr>
          <w:rFonts w:asciiTheme="minorHAnsi" w:hAnsiTheme="minorHAnsi" w:cs="Arial"/>
          <w:b/>
          <w:color w:val="000000"/>
          <w:szCs w:val="22"/>
          <w:lang w:val="en-GB"/>
        </w:rPr>
        <w:t xml:space="preserve"> </w:t>
      </w:r>
      <w:r w:rsidR="000525DD" w:rsidRPr="00B43801">
        <w:rPr>
          <w:rFonts w:asciiTheme="minorHAnsi" w:hAnsiTheme="minorHAnsi" w:cs="Arial"/>
          <w:color w:val="000000"/>
          <w:szCs w:val="22"/>
          <w:lang w:val="en-GB"/>
        </w:rPr>
        <w:t>Accountability</w:t>
      </w:r>
      <w:r w:rsidR="000525DD">
        <w:rPr>
          <w:rFonts w:asciiTheme="minorHAnsi" w:hAnsiTheme="minorHAnsi" w:cs="Arial"/>
          <w:color w:val="000000"/>
          <w:szCs w:val="22"/>
          <w:lang w:val="en-GB"/>
        </w:rPr>
        <w:t xml:space="preserve"> and transparency.</w:t>
      </w:r>
    </w:p>
    <w:p w14:paraId="34346467" w14:textId="77777777" w:rsidR="000525DD" w:rsidRPr="00B43801" w:rsidRDefault="000525DD" w:rsidP="00AF6694">
      <w:pPr>
        <w:pStyle w:val="NormalWeb"/>
        <w:spacing w:before="0" w:beforeAutospacing="0" w:after="0" w:afterAutospacing="0"/>
        <w:rPr>
          <w:rFonts w:asciiTheme="minorHAnsi" w:hAnsiTheme="minorHAnsi" w:cs="Arial"/>
          <w:b/>
          <w:color w:val="000000"/>
          <w:szCs w:val="22"/>
          <w:lang w:val="en-GB"/>
        </w:rPr>
      </w:pPr>
    </w:p>
    <w:p w14:paraId="5A0309FE" w14:textId="76A75CD2" w:rsidR="00AF6694" w:rsidRPr="00B43801" w:rsidRDefault="00AF6694" w:rsidP="00AF6694">
      <w:pPr>
        <w:pStyle w:val="NormalWeb"/>
        <w:spacing w:before="0" w:beforeAutospacing="0" w:after="0" w:afterAutospacing="0"/>
        <w:rPr>
          <w:rFonts w:asciiTheme="minorHAnsi" w:hAnsiTheme="minorHAnsi" w:cs="Arial"/>
          <w:b/>
          <w:color w:val="000000"/>
          <w:szCs w:val="22"/>
          <w:lang w:val="en-GB"/>
        </w:rPr>
      </w:pPr>
      <w:r w:rsidRPr="00B43801">
        <w:rPr>
          <w:rFonts w:asciiTheme="minorHAnsi" w:hAnsiTheme="minorHAnsi" w:cs="Arial"/>
          <w:b/>
          <w:color w:val="000000"/>
          <w:szCs w:val="22"/>
          <w:lang w:val="en-GB"/>
        </w:rPr>
        <w:t xml:space="preserve">Includes subtopics: </w:t>
      </w:r>
      <w:r w:rsidRPr="00B43801">
        <w:rPr>
          <w:rFonts w:asciiTheme="minorHAnsi" w:hAnsiTheme="minorHAnsi" w:cs="Arial"/>
          <w:color w:val="000000"/>
          <w:szCs w:val="22"/>
          <w:lang w:val="en-GB"/>
        </w:rPr>
        <w:t>data protection by design and default</w:t>
      </w:r>
      <w:r w:rsidR="000525DD">
        <w:rPr>
          <w:rFonts w:asciiTheme="minorHAnsi" w:hAnsiTheme="minorHAnsi" w:cs="Arial"/>
          <w:color w:val="000000"/>
          <w:szCs w:val="22"/>
          <w:lang w:val="en-GB"/>
        </w:rPr>
        <w:t>, accountability, transparency, data protection audits, gap analyses, DPIAs and the assessment of risk, role of the data protection registers.</w:t>
      </w:r>
    </w:p>
    <w:p w14:paraId="6C76C094" w14:textId="77777777" w:rsidR="000525DD" w:rsidRDefault="000525DD" w:rsidP="00AF6694">
      <w:pPr>
        <w:pStyle w:val="NormalWeb"/>
        <w:spacing w:before="0" w:beforeAutospacing="0" w:after="0" w:afterAutospacing="0"/>
        <w:rPr>
          <w:rFonts w:asciiTheme="minorHAnsi" w:hAnsiTheme="minorHAnsi" w:cs="Arial"/>
          <w:b/>
          <w:color w:val="000000"/>
          <w:szCs w:val="22"/>
          <w:lang w:val="en-GB"/>
        </w:rPr>
      </w:pPr>
    </w:p>
    <w:p w14:paraId="41A34345" w14:textId="74D2723A" w:rsidR="00AF6694" w:rsidRPr="00B43801" w:rsidRDefault="00AF6694" w:rsidP="00AF6694">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b/>
          <w:color w:val="000000"/>
          <w:szCs w:val="22"/>
          <w:lang w:val="en-GB"/>
        </w:rPr>
        <w:t>Rationale for inclusion:</w:t>
      </w:r>
      <w:r w:rsidR="000525DD">
        <w:rPr>
          <w:rFonts w:asciiTheme="minorHAnsi" w:hAnsiTheme="minorHAnsi" w:cs="Arial"/>
          <w:color w:val="000000"/>
          <w:szCs w:val="22"/>
          <w:lang w:val="en-GB"/>
        </w:rPr>
        <w:t xml:space="preserve"> it </w:t>
      </w:r>
      <w:proofErr w:type="gramStart"/>
      <w:r w:rsidR="000525DD">
        <w:rPr>
          <w:rFonts w:asciiTheme="minorHAnsi" w:hAnsiTheme="minorHAnsi" w:cs="Arial"/>
          <w:color w:val="000000"/>
          <w:szCs w:val="22"/>
          <w:lang w:val="en-GB"/>
        </w:rPr>
        <w:t>provide</w:t>
      </w:r>
      <w:r w:rsidR="00D05770">
        <w:rPr>
          <w:rFonts w:asciiTheme="minorHAnsi" w:hAnsiTheme="minorHAnsi" w:cs="Arial"/>
          <w:color w:val="000000"/>
          <w:szCs w:val="22"/>
          <w:lang w:val="en-GB"/>
        </w:rPr>
        <w:t xml:space="preserve">s </w:t>
      </w:r>
      <w:proofErr w:type="gramEnd"/>
      <w:r w:rsidR="000525DD">
        <w:rPr>
          <w:rFonts w:asciiTheme="minorHAnsi" w:hAnsiTheme="minorHAnsi" w:cs="Arial"/>
          <w:color w:val="000000"/>
          <w:szCs w:val="22"/>
          <w:lang w:val="en-GB"/>
        </w:rPr>
        <w:t xml:space="preserve">further training on how to approach the GDPR. Although the purpose of this topic is not practical it builds upon practical aspects of the new regime to ensure key stakeholders understand how </w:t>
      </w:r>
      <w:bookmarkStart w:id="21" w:name="_GoBack"/>
      <w:bookmarkEnd w:id="21"/>
      <w:r w:rsidR="000525DD">
        <w:rPr>
          <w:rFonts w:asciiTheme="minorHAnsi" w:hAnsiTheme="minorHAnsi" w:cs="Arial"/>
          <w:color w:val="000000"/>
          <w:szCs w:val="22"/>
          <w:lang w:val="en-GB"/>
        </w:rPr>
        <w:t>their organisation should tackle data protection compliance.</w:t>
      </w:r>
    </w:p>
    <w:p w14:paraId="4461F7BD" w14:textId="77777777" w:rsidR="000525DD" w:rsidRPr="00B43801" w:rsidRDefault="000525DD" w:rsidP="00AF6694">
      <w:pPr>
        <w:pStyle w:val="NormalWeb"/>
        <w:spacing w:before="0" w:beforeAutospacing="0" w:after="0" w:afterAutospacing="0"/>
        <w:rPr>
          <w:rFonts w:asciiTheme="minorHAnsi" w:hAnsiTheme="minorHAnsi" w:cs="Arial"/>
          <w:b/>
          <w:color w:val="000000"/>
          <w:szCs w:val="22"/>
          <w:lang w:val="en-GB"/>
        </w:rPr>
      </w:pPr>
    </w:p>
    <w:p w14:paraId="2F587A6B" w14:textId="57C8AC02" w:rsidR="00AF6694" w:rsidRDefault="00AF6694" w:rsidP="00AF6694">
      <w:pPr>
        <w:pStyle w:val="NormalWeb"/>
        <w:spacing w:before="0" w:beforeAutospacing="0" w:after="0" w:afterAutospacing="0"/>
        <w:rPr>
          <w:rFonts w:asciiTheme="minorHAnsi" w:hAnsiTheme="minorHAnsi" w:cs="Arial"/>
          <w:b/>
          <w:color w:val="000000"/>
          <w:szCs w:val="22"/>
          <w:lang w:val="en-GB"/>
        </w:rPr>
      </w:pPr>
      <w:r w:rsidRPr="00B43801">
        <w:rPr>
          <w:rFonts w:asciiTheme="minorHAnsi" w:hAnsiTheme="minorHAnsi" w:cs="Arial"/>
          <w:b/>
          <w:color w:val="000000"/>
          <w:szCs w:val="22"/>
          <w:lang w:val="en-GB"/>
        </w:rPr>
        <w:t xml:space="preserve">Additional considerations for this topic: </w:t>
      </w:r>
    </w:p>
    <w:p w14:paraId="487BA2CA" w14:textId="08FCFAE3" w:rsidR="000525DD" w:rsidRPr="00B43801" w:rsidRDefault="000525DD" w:rsidP="00B43801">
      <w:pPr>
        <w:pStyle w:val="NormalWeb"/>
        <w:numPr>
          <w:ilvl w:val="0"/>
          <w:numId w:val="44"/>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Adequate for either ppt, webinar, </w:t>
      </w:r>
      <w:r w:rsidR="008F3406" w:rsidRPr="00B43801">
        <w:rPr>
          <w:rFonts w:asciiTheme="minorHAnsi" w:hAnsiTheme="minorHAnsi" w:cs="Arial"/>
          <w:color w:val="000000"/>
          <w:szCs w:val="22"/>
          <w:lang w:val="en-GB"/>
        </w:rPr>
        <w:t xml:space="preserve">or even video presentation. </w:t>
      </w:r>
    </w:p>
    <w:p w14:paraId="705D383B" w14:textId="77777777" w:rsidR="00AF6694" w:rsidRPr="003C1910" w:rsidRDefault="00AF6694" w:rsidP="00AF6694">
      <w:pPr>
        <w:rPr>
          <w:lang w:val="en-GB"/>
        </w:rPr>
      </w:pPr>
    </w:p>
    <w:p w14:paraId="434315B6" w14:textId="12901399" w:rsidR="00AF6694" w:rsidRPr="003C1910" w:rsidRDefault="00AF6694" w:rsidP="00975FB6">
      <w:pPr>
        <w:pStyle w:val="Heading2"/>
        <w:rPr>
          <w:lang w:val="en-GB"/>
        </w:rPr>
      </w:pPr>
      <w:bookmarkStart w:id="22" w:name="_Toc513797493"/>
      <w:r w:rsidRPr="003C1910">
        <w:rPr>
          <w:lang w:val="en-GB"/>
        </w:rPr>
        <w:t xml:space="preserve">Topic </w:t>
      </w:r>
      <w:r w:rsidR="00A70C4D" w:rsidRPr="003C1910">
        <w:rPr>
          <w:lang w:val="en-GB"/>
        </w:rPr>
        <w:t>9</w:t>
      </w:r>
      <w:r w:rsidRPr="003C1910">
        <w:rPr>
          <w:lang w:val="en-GB"/>
        </w:rPr>
        <w:t>: Data protection impact assessments</w:t>
      </w:r>
      <w:bookmarkEnd w:id="22"/>
    </w:p>
    <w:p w14:paraId="7FA4BEB4" w14:textId="406692EE"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7475C" w:rsidRPr="003C1910">
        <w:rPr>
          <w:rFonts w:asciiTheme="minorHAnsi" w:hAnsiTheme="minorHAnsi"/>
          <w:lang w:val="en-GB"/>
        </w:rPr>
        <w:t xml:space="preserve">The GDPR introduces a new requirement around particular types of processing of personal data – the Data Protection Impact Assessment (DPIA). Essentially, for certain types of personal data processing that can be considered to pose a high level of risk to the rights of data subjects, an impact assessment exercise must be conducted prior to starting that processing. This training material will introduce data protection impact assessment to the trainee, provide them with a methodology approach for conducting a DPIA. </w:t>
      </w:r>
    </w:p>
    <w:p w14:paraId="057D0FE6" w14:textId="77777777" w:rsidR="0067475C" w:rsidRPr="003C1910" w:rsidRDefault="0067475C" w:rsidP="00AF6694">
      <w:pPr>
        <w:pStyle w:val="NormalWeb"/>
        <w:spacing w:before="0" w:beforeAutospacing="0" w:after="0" w:afterAutospacing="0"/>
        <w:rPr>
          <w:rFonts w:asciiTheme="minorHAnsi" w:hAnsiTheme="minorHAnsi" w:cs="Arial"/>
          <w:color w:val="000000"/>
          <w:szCs w:val="22"/>
          <w:lang w:val="en-GB"/>
        </w:rPr>
      </w:pPr>
    </w:p>
    <w:p w14:paraId="6E350C8E" w14:textId="52ADA5EB"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67475C" w:rsidRPr="003C1910">
        <w:rPr>
          <w:rFonts w:asciiTheme="minorHAnsi" w:hAnsiTheme="minorHAnsi" w:cs="Arial"/>
          <w:color w:val="000000"/>
          <w:szCs w:val="22"/>
          <w:lang w:val="en-GB"/>
        </w:rPr>
        <w:t xml:space="preserve">Defining and identifying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High risk</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processing</w:t>
      </w:r>
      <w:r w:rsidR="0067475C" w:rsidRPr="003C1910">
        <w:rPr>
          <w:rFonts w:asciiTheme="minorHAnsi" w:hAnsiTheme="minorHAnsi" w:cs="Arial"/>
          <w:color w:val="000000"/>
          <w:szCs w:val="22"/>
          <w:lang w:val="en-GB"/>
        </w:rPr>
        <w:t xml:space="preserve">; </w:t>
      </w:r>
      <w:r w:rsidR="008F3406">
        <w:rPr>
          <w:rFonts w:asciiTheme="minorHAnsi" w:hAnsiTheme="minorHAnsi" w:cs="Arial"/>
          <w:color w:val="000000"/>
          <w:szCs w:val="22"/>
          <w:lang w:val="en-GB"/>
        </w:rPr>
        <w:t xml:space="preserve">when and </w:t>
      </w:r>
      <w:r w:rsidR="0067475C" w:rsidRPr="003C1910">
        <w:rPr>
          <w:rFonts w:asciiTheme="minorHAnsi" w:hAnsiTheme="minorHAnsi" w:cs="Arial"/>
          <w:color w:val="000000"/>
          <w:szCs w:val="22"/>
          <w:lang w:val="en-GB"/>
        </w:rPr>
        <w:t xml:space="preserve">how to conduct a DPIA; </w:t>
      </w:r>
      <w:r w:rsidR="008F3406">
        <w:rPr>
          <w:rFonts w:asciiTheme="minorHAnsi" w:hAnsiTheme="minorHAnsi" w:cs="Arial"/>
          <w:color w:val="000000"/>
          <w:szCs w:val="22"/>
          <w:lang w:val="en-GB"/>
        </w:rPr>
        <w:t xml:space="preserve">validating DPIA results, the role of management and DPO, </w:t>
      </w:r>
      <w:r w:rsidR="0067475C" w:rsidRPr="003C1910">
        <w:rPr>
          <w:rFonts w:asciiTheme="minorHAnsi" w:hAnsiTheme="minorHAnsi" w:cs="Arial"/>
          <w:color w:val="000000"/>
          <w:szCs w:val="22"/>
          <w:lang w:val="en-GB"/>
        </w:rPr>
        <w:t>publishing a DPIA</w:t>
      </w:r>
      <w:r w:rsidR="008F3406">
        <w:rPr>
          <w:rFonts w:asciiTheme="minorHAnsi" w:hAnsiTheme="minorHAnsi" w:cs="Arial"/>
          <w:color w:val="000000"/>
          <w:szCs w:val="22"/>
          <w:lang w:val="en-GB"/>
        </w:rPr>
        <w:t>, usefulness for DPAs</w:t>
      </w:r>
      <w:r w:rsidR="0067475C" w:rsidRPr="003C1910">
        <w:rPr>
          <w:rFonts w:asciiTheme="minorHAnsi" w:hAnsiTheme="minorHAnsi" w:cs="Arial"/>
          <w:color w:val="000000"/>
          <w:szCs w:val="22"/>
          <w:lang w:val="en-GB"/>
        </w:rPr>
        <w:t xml:space="preserve">. </w:t>
      </w:r>
    </w:p>
    <w:p w14:paraId="5193F688" w14:textId="77777777" w:rsidR="0067475C" w:rsidRPr="003C1910" w:rsidRDefault="0067475C" w:rsidP="00AF6694">
      <w:pPr>
        <w:pStyle w:val="NormalWeb"/>
        <w:spacing w:before="0" w:beforeAutospacing="0" w:after="0" w:afterAutospacing="0"/>
        <w:rPr>
          <w:rFonts w:asciiTheme="minorHAnsi" w:hAnsiTheme="minorHAnsi" w:cs="Arial"/>
          <w:color w:val="000000"/>
          <w:szCs w:val="22"/>
          <w:lang w:val="en-GB"/>
        </w:rPr>
      </w:pPr>
    </w:p>
    <w:p w14:paraId="042F8585" w14:textId="128CEDA0"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0067475C" w:rsidRPr="003C1910">
        <w:rPr>
          <w:rFonts w:asciiTheme="minorHAnsi" w:hAnsiTheme="minorHAnsi" w:cs="Arial"/>
          <w:color w:val="000000"/>
          <w:szCs w:val="22"/>
          <w:lang w:val="en-GB"/>
        </w:rPr>
        <w:t xml:space="preserve"> DPA priority topic, DPO priority topic, GDPR novelty. </w:t>
      </w:r>
      <w:r w:rsidR="008C4978">
        <w:rPr>
          <w:rFonts w:asciiTheme="minorHAnsi" w:hAnsiTheme="minorHAnsi" w:cs="Arial"/>
          <w:color w:val="000000"/>
          <w:szCs w:val="22"/>
          <w:lang w:val="en-GB"/>
        </w:rPr>
        <w:t>Cornerstone of the accountability principle.</w:t>
      </w:r>
    </w:p>
    <w:p w14:paraId="3AA62130" w14:textId="77777777" w:rsidR="0067475C" w:rsidRPr="003C1910" w:rsidRDefault="0067475C" w:rsidP="00AF6694">
      <w:pPr>
        <w:pStyle w:val="NormalWeb"/>
        <w:spacing w:before="0" w:beforeAutospacing="0" w:after="0" w:afterAutospacing="0"/>
        <w:rPr>
          <w:rFonts w:asciiTheme="minorHAnsi" w:hAnsiTheme="minorHAnsi" w:cs="Arial"/>
          <w:color w:val="000000"/>
          <w:szCs w:val="22"/>
          <w:lang w:val="en-GB"/>
        </w:rPr>
      </w:pPr>
    </w:p>
    <w:p w14:paraId="2E220261" w14:textId="3465A635" w:rsidR="00AF6694" w:rsidRPr="003C1910" w:rsidRDefault="00AF6694" w:rsidP="00AF6694">
      <w:pPr>
        <w:pStyle w:val="NormalWeb"/>
        <w:spacing w:before="0" w:beforeAutospacing="0" w:after="0" w:afterAutospacing="0"/>
        <w:rPr>
          <w:rFonts w:asciiTheme="minorHAnsi" w:hAnsiTheme="minorHAnsi"/>
          <w:b/>
          <w:lang w:val="en-GB"/>
        </w:rPr>
      </w:pPr>
      <w:r w:rsidRPr="003C1910">
        <w:rPr>
          <w:rFonts w:asciiTheme="minorHAnsi" w:hAnsiTheme="minorHAnsi" w:cs="Arial"/>
          <w:b/>
          <w:color w:val="000000"/>
          <w:szCs w:val="22"/>
          <w:lang w:val="en-GB"/>
        </w:rPr>
        <w:t xml:space="preserve">Additional considerations for this topic: </w:t>
      </w:r>
    </w:p>
    <w:p w14:paraId="69C20C84" w14:textId="6C318631" w:rsidR="00AF6694" w:rsidRPr="003C1910" w:rsidRDefault="00AF6694" w:rsidP="00AF6694">
      <w:pPr>
        <w:pStyle w:val="NormalWeb"/>
        <w:numPr>
          <w:ilvl w:val="0"/>
          <w:numId w:val="3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lastRenderedPageBreak/>
        <w:t>Should not be reduced to mere cybersecurity exercise but should include importance of the considerations of rights and freedoms</w:t>
      </w:r>
      <w:r w:rsidR="008C4978">
        <w:rPr>
          <w:rFonts w:asciiTheme="minorHAnsi" w:hAnsiTheme="minorHAnsi" w:cs="Arial"/>
          <w:color w:val="000000"/>
          <w:szCs w:val="22"/>
          <w:lang w:val="en-GB"/>
        </w:rPr>
        <w:t xml:space="preserve"> of data subjects, including the consequence </w:t>
      </w:r>
      <w:r w:rsidR="006D7DD3">
        <w:rPr>
          <w:rFonts w:asciiTheme="minorHAnsi" w:hAnsiTheme="minorHAnsi" w:cs="Arial"/>
          <w:color w:val="000000"/>
          <w:szCs w:val="22"/>
          <w:lang w:val="en-GB"/>
        </w:rPr>
        <w:t>for</w:t>
      </w:r>
      <w:r w:rsidR="008C4978">
        <w:rPr>
          <w:rFonts w:asciiTheme="minorHAnsi" w:hAnsiTheme="minorHAnsi" w:cs="Arial"/>
          <w:color w:val="000000"/>
          <w:szCs w:val="22"/>
          <w:lang w:val="en-GB"/>
        </w:rPr>
        <w:t xml:space="preserve"> them of a potential data breach based on the nature of the personal data processed in the company</w:t>
      </w:r>
      <w:r w:rsidRPr="003C1910">
        <w:rPr>
          <w:rFonts w:asciiTheme="minorHAnsi" w:hAnsiTheme="minorHAnsi" w:cs="Arial"/>
          <w:color w:val="000000"/>
          <w:szCs w:val="22"/>
          <w:lang w:val="en-GB"/>
        </w:rPr>
        <w:t xml:space="preserve">. </w:t>
      </w:r>
    </w:p>
    <w:p w14:paraId="54671684" w14:textId="54B6F8B6" w:rsidR="00AF6694" w:rsidRPr="003C1910" w:rsidRDefault="00AF6694" w:rsidP="00AF6694">
      <w:pPr>
        <w:pStyle w:val="NormalWeb"/>
        <w:numPr>
          <w:ilvl w:val="0"/>
          <w:numId w:val="3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Methodological framework for conducting a DPIA</w:t>
      </w:r>
      <w:r w:rsidR="0067475C" w:rsidRPr="003C1910">
        <w:rPr>
          <w:rFonts w:asciiTheme="minorHAnsi" w:hAnsiTheme="minorHAnsi" w:cs="Arial"/>
          <w:color w:val="000000"/>
          <w:szCs w:val="22"/>
          <w:lang w:val="en-GB"/>
        </w:rPr>
        <w:t xml:space="preserve"> – How-to guide. </w:t>
      </w:r>
    </w:p>
    <w:p w14:paraId="0A703616" w14:textId="3C2EEE3F" w:rsidR="0067475C" w:rsidRDefault="0067475C" w:rsidP="00AF6694">
      <w:pPr>
        <w:pStyle w:val="NormalWeb"/>
        <w:numPr>
          <w:ilvl w:val="0"/>
          <w:numId w:val="30"/>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Should identify and point to existing EU and sector-specific guides to DPIA. </w:t>
      </w:r>
    </w:p>
    <w:p w14:paraId="6F76A899" w14:textId="11D7D9E0" w:rsidR="008C4978" w:rsidRPr="003C1910" w:rsidRDefault="008C4978" w:rsidP="00AF6694">
      <w:pPr>
        <w:pStyle w:val="NormalWeb"/>
        <w:numPr>
          <w:ilvl w:val="0"/>
          <w:numId w:val="30"/>
        </w:numPr>
        <w:spacing w:before="0" w:beforeAutospacing="0" w:after="0" w:afterAutospacing="0"/>
        <w:textAlignment w:val="baseline"/>
        <w:rPr>
          <w:rFonts w:asciiTheme="minorHAnsi" w:hAnsiTheme="minorHAnsi" w:cs="Arial"/>
          <w:color w:val="000000"/>
          <w:szCs w:val="22"/>
          <w:lang w:val="en-GB"/>
        </w:rPr>
      </w:pPr>
      <w:r>
        <w:rPr>
          <w:rFonts w:asciiTheme="minorHAnsi" w:hAnsiTheme="minorHAnsi" w:cs="Arial"/>
          <w:color w:val="000000"/>
          <w:szCs w:val="22"/>
          <w:lang w:val="en-GB"/>
        </w:rPr>
        <w:t>Adequate for ppt combined with excel files or other tools, such as the CNIL guidance.</w:t>
      </w:r>
    </w:p>
    <w:p w14:paraId="11D7BBBE" w14:textId="77777777" w:rsidR="00AF6694" w:rsidRPr="003C1910" w:rsidRDefault="00AF6694" w:rsidP="00AF6694">
      <w:pPr>
        <w:rPr>
          <w:rFonts w:cs="Times New Roman"/>
          <w:sz w:val="24"/>
          <w:lang w:val="en-GB"/>
        </w:rPr>
      </w:pPr>
    </w:p>
    <w:p w14:paraId="1C4A302F" w14:textId="7B715ED4" w:rsidR="00AF6694" w:rsidRPr="003C1910" w:rsidRDefault="00AF6694" w:rsidP="00975FB6">
      <w:pPr>
        <w:pStyle w:val="Heading2"/>
        <w:rPr>
          <w:lang w:val="en-GB"/>
        </w:rPr>
      </w:pPr>
      <w:bookmarkStart w:id="23" w:name="_Toc513797494"/>
      <w:r w:rsidRPr="003C1910">
        <w:rPr>
          <w:lang w:val="en-GB"/>
        </w:rPr>
        <w:t xml:space="preserve">Topic </w:t>
      </w:r>
      <w:r w:rsidR="00A70C4D" w:rsidRPr="003C1910">
        <w:rPr>
          <w:lang w:val="en-GB"/>
        </w:rPr>
        <w:t>10</w:t>
      </w:r>
      <w:r w:rsidRPr="003C1910">
        <w:rPr>
          <w:lang w:val="en-GB"/>
        </w:rPr>
        <w:t xml:space="preserve">: </w:t>
      </w:r>
      <w:r w:rsidR="0067475C" w:rsidRPr="003C1910">
        <w:rPr>
          <w:lang w:val="en-GB"/>
        </w:rPr>
        <w:t>D</w:t>
      </w:r>
      <w:r w:rsidRPr="003C1910">
        <w:rPr>
          <w:lang w:val="en-GB"/>
        </w:rPr>
        <w:t>ata protection communication</w:t>
      </w:r>
      <w:bookmarkEnd w:id="23"/>
    </w:p>
    <w:p w14:paraId="65272B7A" w14:textId="677BECE0" w:rsidR="00AF6694" w:rsidRPr="003C1910" w:rsidRDefault="00AF6694" w:rsidP="00AF6694">
      <w:pPr>
        <w:pStyle w:val="NormalWeb"/>
        <w:spacing w:before="0" w:beforeAutospacing="0" w:after="0" w:afterAutospacing="0"/>
        <w:rPr>
          <w:rFonts w:asciiTheme="minorHAnsi" w:hAnsiTheme="minorHAnsi"/>
          <w:b/>
          <w:lang w:val="en-GB"/>
        </w:rPr>
      </w:pPr>
      <w:r w:rsidRPr="003C1910">
        <w:rPr>
          <w:rFonts w:asciiTheme="minorHAnsi" w:hAnsiTheme="minorHAnsi" w:cs="Arial"/>
          <w:b/>
          <w:color w:val="000000"/>
          <w:szCs w:val="22"/>
          <w:lang w:val="en-GB"/>
        </w:rPr>
        <w:t xml:space="preserve">Summary: </w:t>
      </w:r>
      <w:r w:rsidR="0067475C" w:rsidRPr="003C1910">
        <w:rPr>
          <w:rFonts w:asciiTheme="minorHAnsi" w:hAnsiTheme="minorHAnsi" w:cs="Arial"/>
          <w:color w:val="000000"/>
          <w:szCs w:val="22"/>
          <w:lang w:val="en-GB"/>
        </w:rPr>
        <w:t>Much of the regulatory regime around data protection involves requirements for various forms of communication, for example, notifying affected parties and authorities in the case of data breach, or providing adequate information to data subjects so they can give informed consent to data process. This communication can be done well or done poorly, and this topic guides trainees in understanding their communications obligations and how to execute them.</w:t>
      </w:r>
      <w:r w:rsidR="0067475C" w:rsidRPr="003C1910">
        <w:rPr>
          <w:rFonts w:asciiTheme="minorHAnsi" w:hAnsiTheme="minorHAnsi" w:cs="Arial"/>
          <w:b/>
          <w:color w:val="000000"/>
          <w:szCs w:val="22"/>
          <w:lang w:val="en-GB"/>
        </w:rPr>
        <w:t xml:space="preserve"> </w:t>
      </w:r>
    </w:p>
    <w:p w14:paraId="595561E2" w14:textId="77777777" w:rsidR="0067475C" w:rsidRPr="003C1910" w:rsidRDefault="0067475C" w:rsidP="00AF6694">
      <w:pPr>
        <w:pStyle w:val="NormalWeb"/>
        <w:spacing w:before="0" w:beforeAutospacing="0" w:after="0" w:afterAutospacing="0"/>
        <w:rPr>
          <w:rFonts w:asciiTheme="minorHAnsi" w:hAnsiTheme="minorHAnsi" w:cs="Arial"/>
          <w:b/>
          <w:color w:val="000000"/>
          <w:szCs w:val="22"/>
          <w:lang w:val="en-GB"/>
        </w:rPr>
      </w:pPr>
    </w:p>
    <w:p w14:paraId="2ABBCE33" w14:textId="5441DF9A"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communicating with data protection authorities, communicating with data subjects, </w:t>
      </w:r>
      <w:r w:rsidR="0067475C" w:rsidRPr="003C1910">
        <w:rPr>
          <w:rFonts w:asciiTheme="minorHAnsi" w:hAnsiTheme="minorHAnsi" w:cs="Arial"/>
          <w:color w:val="000000"/>
          <w:szCs w:val="22"/>
          <w:lang w:val="en-GB"/>
        </w:rPr>
        <w:t>privacy policies, accountability and compliance, transparency, publication of impact assessment reports, codes of conduct, data protection seals.</w:t>
      </w:r>
    </w:p>
    <w:p w14:paraId="319E226D" w14:textId="77777777" w:rsidR="0067475C" w:rsidRPr="003C1910" w:rsidRDefault="0067475C" w:rsidP="00AF6694">
      <w:pPr>
        <w:pStyle w:val="NormalWeb"/>
        <w:spacing w:before="0" w:beforeAutospacing="0" w:after="0" w:afterAutospacing="0"/>
        <w:rPr>
          <w:rFonts w:asciiTheme="minorHAnsi" w:hAnsiTheme="minorHAnsi" w:cs="Arial"/>
          <w:color w:val="000000"/>
          <w:szCs w:val="22"/>
          <w:lang w:val="en-GB"/>
        </w:rPr>
      </w:pPr>
    </w:p>
    <w:p w14:paraId="01E23D11" w14:textId="42F5FAB0"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Rationale for inclusion:</w:t>
      </w:r>
      <w:r w:rsidR="0067475C" w:rsidRPr="003C1910">
        <w:rPr>
          <w:rFonts w:asciiTheme="minorHAnsi" w:hAnsiTheme="minorHAnsi" w:cs="Arial"/>
          <w:b/>
          <w:color w:val="000000"/>
          <w:szCs w:val="22"/>
          <w:lang w:val="en-GB"/>
        </w:rPr>
        <w:t xml:space="preserve"> </w:t>
      </w:r>
      <w:r w:rsidR="0067475C" w:rsidRPr="003C1910">
        <w:rPr>
          <w:rFonts w:asciiTheme="minorHAnsi" w:hAnsiTheme="minorHAnsi" w:cs="Arial"/>
          <w:color w:val="000000"/>
          <w:szCs w:val="22"/>
          <w:lang w:val="en-GB"/>
        </w:rPr>
        <w:t>Data breach notification practices and procedures was a DPO priority topic</w:t>
      </w:r>
      <w:r w:rsidR="0032354F">
        <w:rPr>
          <w:rFonts w:asciiTheme="minorHAnsi" w:hAnsiTheme="minorHAnsi" w:cs="Arial"/>
          <w:color w:val="000000"/>
          <w:szCs w:val="22"/>
          <w:lang w:val="en-GB"/>
        </w:rPr>
        <w:t>, which the consortium decided to extend to cover all sorts of communications in data protection, to ensure organisations are prepared to enact an appropriate communication and dissemination strategy</w:t>
      </w:r>
      <w:r w:rsidR="0067475C" w:rsidRPr="003C1910">
        <w:rPr>
          <w:rFonts w:asciiTheme="minorHAnsi" w:hAnsiTheme="minorHAnsi" w:cs="Arial"/>
          <w:color w:val="000000"/>
          <w:szCs w:val="22"/>
          <w:lang w:val="en-GB"/>
        </w:rPr>
        <w:t xml:space="preserve"> </w:t>
      </w:r>
    </w:p>
    <w:p w14:paraId="5C58FAD5" w14:textId="77777777" w:rsidR="0067475C" w:rsidRPr="003C1910" w:rsidRDefault="0067475C" w:rsidP="00AF6694">
      <w:pPr>
        <w:pStyle w:val="NormalWeb"/>
        <w:spacing w:before="0" w:beforeAutospacing="0" w:after="0" w:afterAutospacing="0"/>
        <w:rPr>
          <w:rFonts w:asciiTheme="minorHAnsi" w:hAnsiTheme="minorHAnsi" w:cs="Arial"/>
          <w:color w:val="000000"/>
          <w:szCs w:val="22"/>
          <w:lang w:val="en-GB"/>
        </w:rPr>
      </w:pPr>
    </w:p>
    <w:p w14:paraId="478561DA" w14:textId="1A9B8C10" w:rsidR="0067475C" w:rsidRPr="003C1910" w:rsidRDefault="00AF6694" w:rsidP="00AF6694">
      <w:pPr>
        <w:pStyle w:val="NormalWeb"/>
        <w:spacing w:before="0" w:beforeAutospacing="0" w:after="0" w:afterAutospacing="0"/>
        <w:rPr>
          <w:rFonts w:asciiTheme="minorHAnsi" w:hAnsiTheme="minorHAnsi" w:cs="Arial"/>
          <w:b/>
          <w:color w:val="000000"/>
          <w:szCs w:val="22"/>
          <w:lang w:val="en-GB"/>
        </w:rPr>
      </w:pPr>
      <w:r w:rsidRPr="003C1910">
        <w:rPr>
          <w:rFonts w:asciiTheme="minorHAnsi" w:hAnsiTheme="minorHAnsi" w:cs="Arial"/>
          <w:b/>
          <w:color w:val="000000"/>
          <w:szCs w:val="22"/>
          <w:lang w:val="en-GB"/>
        </w:rPr>
        <w:t>Additional considerations for this topic:</w:t>
      </w:r>
    </w:p>
    <w:p w14:paraId="5F4D740A" w14:textId="3A5A31C3" w:rsidR="00AF6694" w:rsidRPr="003C1910" w:rsidRDefault="0067475C" w:rsidP="0067475C">
      <w:pPr>
        <w:pStyle w:val="NormalWeb"/>
        <w:numPr>
          <w:ilvl w:val="0"/>
          <w:numId w:val="41"/>
        </w:numPr>
        <w:spacing w:before="0" w:beforeAutospacing="0" w:after="0" w:afterAutospacing="0"/>
        <w:rPr>
          <w:rFonts w:asciiTheme="minorHAnsi" w:hAnsiTheme="minorHAnsi"/>
          <w:lang w:val="en-GB"/>
        </w:rPr>
      </w:pPr>
      <w:r w:rsidRPr="003C1910">
        <w:rPr>
          <w:rFonts w:asciiTheme="minorHAnsi" w:hAnsiTheme="minorHAnsi"/>
          <w:lang w:val="en-GB"/>
        </w:rPr>
        <w:t>Include examples of best practices for communication</w:t>
      </w:r>
    </w:p>
    <w:p w14:paraId="3133E155" w14:textId="719F1990" w:rsidR="0067475C" w:rsidRPr="003C1910" w:rsidRDefault="0067475C" w:rsidP="0067475C">
      <w:pPr>
        <w:pStyle w:val="NormalWeb"/>
        <w:numPr>
          <w:ilvl w:val="0"/>
          <w:numId w:val="41"/>
        </w:numPr>
        <w:spacing w:before="0" w:beforeAutospacing="0" w:after="0" w:afterAutospacing="0"/>
        <w:rPr>
          <w:rFonts w:asciiTheme="minorHAnsi" w:hAnsiTheme="minorHAnsi"/>
          <w:lang w:val="en-GB"/>
        </w:rPr>
      </w:pPr>
      <w:r w:rsidRPr="003C1910">
        <w:rPr>
          <w:rFonts w:asciiTheme="minorHAnsi" w:hAnsiTheme="minorHAnsi"/>
          <w:lang w:val="en-GB"/>
        </w:rPr>
        <w:t xml:space="preserve">Include examples of how DPAs expect </w:t>
      </w:r>
      <w:r w:rsidR="0032354F" w:rsidRPr="003C1910">
        <w:rPr>
          <w:rFonts w:asciiTheme="minorHAnsi" w:hAnsiTheme="minorHAnsi"/>
          <w:lang w:val="en-GB"/>
        </w:rPr>
        <w:t>communication</w:t>
      </w:r>
    </w:p>
    <w:p w14:paraId="363E76E3" w14:textId="1B2C3CCF" w:rsidR="0067475C" w:rsidRDefault="0067475C" w:rsidP="0067475C">
      <w:pPr>
        <w:pStyle w:val="NormalWeb"/>
        <w:numPr>
          <w:ilvl w:val="0"/>
          <w:numId w:val="41"/>
        </w:numPr>
        <w:spacing w:before="0" w:beforeAutospacing="0" w:after="0" w:afterAutospacing="0"/>
        <w:rPr>
          <w:rFonts w:asciiTheme="minorHAnsi" w:hAnsiTheme="minorHAnsi"/>
          <w:lang w:val="en-GB"/>
        </w:rPr>
      </w:pPr>
      <w:r w:rsidRPr="003C1910">
        <w:rPr>
          <w:rFonts w:asciiTheme="minorHAnsi" w:hAnsiTheme="minorHAnsi"/>
          <w:lang w:val="en-GB"/>
        </w:rPr>
        <w:t xml:space="preserve">Potential overlap with responsibilities of data controllers and processors and with rights of the data subject, but many of the good practice examples in this area are well addressed together. </w:t>
      </w:r>
    </w:p>
    <w:p w14:paraId="0B259862" w14:textId="14C6DDF4" w:rsidR="00595F81" w:rsidRPr="003C1910" w:rsidRDefault="00595F81" w:rsidP="0067475C">
      <w:pPr>
        <w:pStyle w:val="NormalWeb"/>
        <w:numPr>
          <w:ilvl w:val="0"/>
          <w:numId w:val="41"/>
        </w:numPr>
        <w:spacing w:before="0" w:beforeAutospacing="0" w:after="0" w:afterAutospacing="0"/>
        <w:rPr>
          <w:rFonts w:asciiTheme="minorHAnsi" w:hAnsiTheme="minorHAnsi"/>
          <w:lang w:val="en-GB"/>
        </w:rPr>
      </w:pPr>
      <w:r>
        <w:rPr>
          <w:rFonts w:asciiTheme="minorHAnsi" w:hAnsiTheme="minorHAnsi"/>
          <w:lang w:val="en-GB"/>
        </w:rPr>
        <w:t>Adequate for regular training materials but also for videos and podcasts.</w:t>
      </w:r>
    </w:p>
    <w:p w14:paraId="3AD9D5FB" w14:textId="77777777" w:rsidR="00AF6694" w:rsidRPr="003C1910" w:rsidRDefault="00AF6694" w:rsidP="00AF6694">
      <w:pPr>
        <w:spacing w:after="240"/>
        <w:rPr>
          <w:rFonts w:ascii="Times New Roman" w:hAnsi="Times New Roman" w:cs="Times New Roman"/>
          <w:sz w:val="24"/>
          <w:lang w:val="en-GB"/>
        </w:rPr>
      </w:pPr>
    </w:p>
    <w:p w14:paraId="51F2CC8F" w14:textId="45EFAC8A" w:rsidR="00AF6694" w:rsidRPr="003C1910" w:rsidRDefault="00AF6694" w:rsidP="00975FB6">
      <w:pPr>
        <w:pStyle w:val="Heading2"/>
        <w:rPr>
          <w:lang w:val="en-GB"/>
        </w:rPr>
      </w:pPr>
      <w:bookmarkStart w:id="24" w:name="_Toc513797495"/>
      <w:r w:rsidRPr="003C1910">
        <w:rPr>
          <w:lang w:val="en-GB"/>
        </w:rPr>
        <w:t>Topic 1</w:t>
      </w:r>
      <w:r w:rsidR="00A70C4D" w:rsidRPr="003C1910">
        <w:rPr>
          <w:lang w:val="en-GB"/>
        </w:rPr>
        <w:t>1</w:t>
      </w:r>
      <w:r w:rsidRPr="003C1910">
        <w:rPr>
          <w:lang w:val="en-GB"/>
        </w:rPr>
        <w:t>: It</w:t>
      </w:r>
      <w:r w:rsidR="00D033D0">
        <w:rPr>
          <w:lang w:val="en-GB"/>
        </w:rPr>
        <w:t>’</w:t>
      </w:r>
      <w:r w:rsidRPr="003C1910">
        <w:rPr>
          <w:lang w:val="en-GB"/>
        </w:rPr>
        <w:t xml:space="preserve">s not just the GDPR - GDPR related laws and special provisions </w:t>
      </w:r>
      <w:bookmarkEnd w:id="24"/>
    </w:p>
    <w:p w14:paraId="6A9E63A3" w14:textId="667BD326"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A94504" w:rsidRPr="003C1910">
        <w:rPr>
          <w:rFonts w:asciiTheme="minorHAnsi" w:hAnsiTheme="minorHAnsi" w:cs="Arial"/>
          <w:color w:val="000000"/>
          <w:szCs w:val="22"/>
          <w:lang w:val="en-GB"/>
        </w:rPr>
        <w:t xml:space="preserve">The GDPR does not stand </w:t>
      </w:r>
      <w:r w:rsidR="00595F81" w:rsidRPr="003C1910">
        <w:rPr>
          <w:rFonts w:asciiTheme="minorHAnsi" w:hAnsiTheme="minorHAnsi" w:cs="Arial"/>
          <w:color w:val="000000"/>
          <w:szCs w:val="22"/>
          <w:lang w:val="en-GB"/>
        </w:rPr>
        <w:t>alone but</w:t>
      </w:r>
      <w:r w:rsidR="00A94504"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is rather accompanied and impact</w:t>
      </w:r>
      <w:r w:rsidR="006D7DD3">
        <w:rPr>
          <w:rFonts w:asciiTheme="minorHAnsi" w:hAnsiTheme="minorHAnsi" w:cs="Arial"/>
          <w:color w:val="000000"/>
          <w:szCs w:val="22"/>
          <w:lang w:val="en-GB"/>
        </w:rPr>
        <w:t>ed</w:t>
      </w:r>
      <w:r w:rsidR="00A70C4D" w:rsidRPr="003C1910">
        <w:rPr>
          <w:rFonts w:asciiTheme="minorHAnsi" w:hAnsiTheme="minorHAnsi" w:cs="Arial"/>
          <w:color w:val="000000"/>
          <w:szCs w:val="22"/>
          <w:lang w:val="en-GB"/>
        </w:rPr>
        <w:t xml:space="preserve"> by other EU legislation, national data protection legislation and decisions, and sectoral legislation. This training material works on </w:t>
      </w:r>
      <w:r w:rsidRPr="003C1910">
        <w:rPr>
          <w:rFonts w:asciiTheme="minorHAnsi" w:hAnsiTheme="minorHAnsi" w:cs="Arial"/>
          <w:color w:val="000000"/>
          <w:szCs w:val="22"/>
          <w:lang w:val="en-GB"/>
        </w:rPr>
        <w:t>embedding GDPR into the context of business and organisations</w:t>
      </w:r>
      <w:r w:rsidR="00A70C4D" w:rsidRPr="003C1910">
        <w:rPr>
          <w:rFonts w:asciiTheme="minorHAnsi" w:hAnsiTheme="minorHAnsi" w:cs="Arial"/>
          <w:color w:val="000000"/>
          <w:szCs w:val="22"/>
          <w:lang w:val="en-GB"/>
        </w:rPr>
        <w:t xml:space="preserve"> by helping the trainees better understand </w:t>
      </w:r>
      <w:r w:rsidR="00595F81" w:rsidRPr="003C1910">
        <w:rPr>
          <w:rFonts w:asciiTheme="minorHAnsi" w:hAnsiTheme="minorHAnsi" w:cs="Arial"/>
          <w:color w:val="000000"/>
          <w:szCs w:val="22"/>
          <w:lang w:val="en-GB"/>
        </w:rPr>
        <w:t>these connections</w:t>
      </w:r>
      <w:r w:rsidR="00A70C4D"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 </w:t>
      </w:r>
    </w:p>
    <w:p w14:paraId="26CBC469" w14:textId="77777777" w:rsidR="00A70C4D" w:rsidRPr="003C1910" w:rsidRDefault="00A70C4D" w:rsidP="00534807">
      <w:pPr>
        <w:pStyle w:val="NormalWeb"/>
        <w:spacing w:before="0" w:beforeAutospacing="0" w:after="0" w:afterAutospacing="0"/>
        <w:rPr>
          <w:rFonts w:asciiTheme="minorHAnsi" w:hAnsiTheme="minorHAnsi" w:cs="Arial"/>
          <w:b/>
          <w:color w:val="000000"/>
          <w:szCs w:val="22"/>
          <w:lang w:val="en-GB"/>
        </w:rPr>
      </w:pPr>
    </w:p>
    <w:p w14:paraId="5DBCF4BA" w14:textId="37C7FA0A" w:rsidR="00534807" w:rsidRPr="003C1910" w:rsidRDefault="00AF6694" w:rsidP="00534807">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data pro</w:t>
      </w:r>
      <w:r w:rsidR="0051657E" w:rsidRPr="003C1910">
        <w:rPr>
          <w:rFonts w:asciiTheme="minorHAnsi" w:hAnsiTheme="minorHAnsi" w:cs="Arial"/>
          <w:color w:val="000000"/>
          <w:szCs w:val="22"/>
          <w:lang w:val="en-GB"/>
        </w:rPr>
        <w:t>tec</w:t>
      </w:r>
      <w:r w:rsidR="00A70C4D" w:rsidRPr="003C1910">
        <w:rPr>
          <w:rFonts w:asciiTheme="minorHAnsi" w:hAnsiTheme="minorHAnsi" w:cs="Arial"/>
          <w:color w:val="000000"/>
          <w:szCs w:val="22"/>
          <w:lang w:val="en-GB"/>
        </w:rPr>
        <w:t xml:space="preserve">tion in </w:t>
      </w:r>
      <w:r w:rsidR="00534807" w:rsidRPr="003C1910">
        <w:rPr>
          <w:rFonts w:asciiTheme="minorHAnsi" w:hAnsiTheme="minorHAnsi" w:cs="Arial"/>
          <w:color w:val="000000"/>
          <w:szCs w:val="22"/>
          <w:lang w:val="en-GB"/>
        </w:rPr>
        <w:t>medical, finance, education, marketing</w:t>
      </w:r>
      <w:r w:rsidR="00A70C4D" w:rsidRPr="003C1910">
        <w:rPr>
          <w:rFonts w:asciiTheme="minorHAnsi" w:hAnsiTheme="minorHAnsi" w:cs="Arial"/>
          <w:color w:val="000000"/>
          <w:szCs w:val="22"/>
          <w:lang w:val="en-GB"/>
        </w:rPr>
        <w:t xml:space="preserve"> industries,</w:t>
      </w:r>
      <w:r w:rsidR="00534807" w:rsidRPr="003C1910">
        <w:rPr>
          <w:rFonts w:asciiTheme="minorHAnsi" w:hAnsiTheme="minorHAnsi" w:cs="Arial"/>
          <w:color w:val="000000"/>
          <w:szCs w:val="22"/>
          <w:lang w:val="en-GB"/>
        </w:rPr>
        <w:t xml:space="preserve"> </w:t>
      </w:r>
      <w:proofErr w:type="spellStart"/>
      <w:r w:rsidR="00534807" w:rsidRPr="003C1910">
        <w:rPr>
          <w:rFonts w:asciiTheme="minorHAnsi" w:hAnsiTheme="minorHAnsi" w:cs="Arial"/>
          <w:color w:val="000000"/>
          <w:szCs w:val="22"/>
          <w:lang w:val="en-GB"/>
        </w:rPr>
        <w:t>e</w:t>
      </w:r>
      <w:r w:rsidR="00595F81">
        <w:rPr>
          <w:rFonts w:asciiTheme="minorHAnsi" w:hAnsiTheme="minorHAnsi" w:cs="Arial"/>
          <w:color w:val="000000"/>
          <w:szCs w:val="22"/>
          <w:lang w:val="en-GB"/>
        </w:rPr>
        <w:t>P</w:t>
      </w:r>
      <w:r w:rsidR="00534807" w:rsidRPr="003C1910">
        <w:rPr>
          <w:rFonts w:asciiTheme="minorHAnsi" w:hAnsiTheme="minorHAnsi" w:cs="Arial"/>
          <w:color w:val="000000"/>
          <w:szCs w:val="22"/>
          <w:lang w:val="en-GB"/>
        </w:rPr>
        <w:t>rivacy</w:t>
      </w:r>
      <w:proofErr w:type="spellEnd"/>
      <w:r w:rsidR="00A70C4D" w:rsidRPr="003C1910">
        <w:rPr>
          <w:rFonts w:asciiTheme="minorHAnsi" w:hAnsiTheme="minorHAnsi" w:cs="Arial"/>
          <w:color w:val="000000"/>
          <w:szCs w:val="22"/>
          <w:lang w:val="en-GB"/>
        </w:rPr>
        <w:t xml:space="preserve"> directive and regulation</w:t>
      </w:r>
      <w:r w:rsidR="00A95BBF">
        <w:rPr>
          <w:rFonts w:asciiTheme="minorHAnsi" w:hAnsiTheme="minorHAnsi" w:cs="Arial"/>
          <w:color w:val="000000"/>
          <w:szCs w:val="22"/>
          <w:lang w:val="en-GB"/>
        </w:rPr>
        <w:t>, data protection in the law enforcement context</w:t>
      </w:r>
      <w:r w:rsidR="00595F81">
        <w:rPr>
          <w:rFonts w:asciiTheme="minorHAnsi" w:hAnsiTheme="minorHAnsi" w:cs="Arial"/>
          <w:color w:val="000000"/>
          <w:szCs w:val="22"/>
          <w:lang w:val="en-GB"/>
        </w:rPr>
        <w:t xml:space="preserve">, other sectoral regulation that may be impacted by data protection, e.g. </w:t>
      </w:r>
      <w:r w:rsidR="00A95BBF">
        <w:rPr>
          <w:rFonts w:asciiTheme="minorHAnsi" w:hAnsiTheme="minorHAnsi" w:cs="Arial"/>
          <w:color w:val="000000"/>
          <w:szCs w:val="22"/>
          <w:lang w:val="en-GB"/>
        </w:rPr>
        <w:t>forensic activities.</w:t>
      </w:r>
    </w:p>
    <w:p w14:paraId="59614E50" w14:textId="77777777" w:rsidR="00AF6694" w:rsidRPr="003C1910" w:rsidRDefault="00AF6694" w:rsidP="00AF6694">
      <w:pPr>
        <w:pStyle w:val="NormalWeb"/>
        <w:spacing w:before="0" w:beforeAutospacing="0" w:after="0" w:afterAutospacing="0"/>
        <w:rPr>
          <w:rFonts w:asciiTheme="minorHAnsi" w:hAnsiTheme="minorHAnsi"/>
          <w:lang w:val="en-GB"/>
        </w:rPr>
      </w:pPr>
    </w:p>
    <w:p w14:paraId="050634B3" w14:textId="10A9A3EB" w:rsidR="00AF6694" w:rsidRDefault="00AF6694" w:rsidP="00AF6694">
      <w:pPr>
        <w:pStyle w:val="NormalWeb"/>
        <w:spacing w:before="0" w:beforeAutospacing="0" w:after="0" w:afterAutospacing="0"/>
        <w:rPr>
          <w:rFonts w:asciiTheme="minorHAnsi" w:hAnsiTheme="minorHAnsi" w:cs="Arial"/>
          <w:color w:val="000000"/>
          <w:szCs w:val="22"/>
          <w:lang w:val="en-GB"/>
        </w:rPr>
      </w:pPr>
      <w:r w:rsidRPr="003C1910">
        <w:rPr>
          <w:rFonts w:asciiTheme="minorHAnsi" w:hAnsiTheme="minorHAnsi" w:cs="Arial"/>
          <w:b/>
          <w:color w:val="000000"/>
          <w:szCs w:val="22"/>
          <w:lang w:val="en-GB"/>
        </w:rPr>
        <w:t>Rationale for inclusion:</w:t>
      </w:r>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strongly indicated by stakeholder interviews</w:t>
      </w:r>
      <w:r w:rsidR="00595F81">
        <w:rPr>
          <w:rFonts w:asciiTheme="minorHAnsi" w:hAnsiTheme="minorHAnsi" w:cs="Arial"/>
          <w:color w:val="000000"/>
          <w:szCs w:val="22"/>
          <w:lang w:val="en-GB"/>
        </w:rPr>
        <w:t>, necessary to give a broad idea of the GDPR positioning</w:t>
      </w:r>
      <w:r w:rsidR="00A95BBF">
        <w:rPr>
          <w:rFonts w:asciiTheme="minorHAnsi" w:hAnsiTheme="minorHAnsi" w:cs="Arial"/>
          <w:color w:val="000000"/>
          <w:szCs w:val="22"/>
          <w:lang w:val="en-GB"/>
        </w:rPr>
        <w:t xml:space="preserve"> in the wider data protection context and in other contexts.</w:t>
      </w:r>
    </w:p>
    <w:p w14:paraId="5922152B" w14:textId="77777777" w:rsidR="00595F81" w:rsidRPr="003C1910" w:rsidRDefault="00595F81" w:rsidP="00AF6694">
      <w:pPr>
        <w:pStyle w:val="NormalWeb"/>
        <w:spacing w:before="0" w:beforeAutospacing="0" w:after="0" w:afterAutospacing="0"/>
        <w:rPr>
          <w:rFonts w:asciiTheme="minorHAnsi" w:hAnsiTheme="minorHAnsi"/>
          <w:b/>
          <w:lang w:val="en-GB"/>
        </w:rPr>
      </w:pPr>
    </w:p>
    <w:p w14:paraId="5A205E23" w14:textId="28DF4D15" w:rsidR="00AF6694" w:rsidRPr="003C1910" w:rsidRDefault="00AF6694" w:rsidP="00AF6694">
      <w:pPr>
        <w:pStyle w:val="NormalWeb"/>
        <w:spacing w:before="0" w:beforeAutospacing="0" w:after="0" w:afterAutospacing="0"/>
        <w:rPr>
          <w:rFonts w:asciiTheme="minorHAnsi" w:hAnsiTheme="minorHAnsi" w:cs="Arial"/>
          <w:b/>
          <w:color w:val="000000"/>
          <w:szCs w:val="22"/>
          <w:lang w:val="en-GB"/>
        </w:rPr>
      </w:pPr>
      <w:r w:rsidRPr="003C1910">
        <w:rPr>
          <w:rFonts w:asciiTheme="minorHAnsi" w:hAnsiTheme="minorHAnsi" w:cs="Arial"/>
          <w:b/>
          <w:color w:val="000000"/>
          <w:szCs w:val="22"/>
          <w:lang w:val="en-GB"/>
        </w:rPr>
        <w:t xml:space="preserve">Additional considerations for this topic: </w:t>
      </w:r>
    </w:p>
    <w:p w14:paraId="199CF94B" w14:textId="361483D8" w:rsidR="00534807" w:rsidRPr="003C1910" w:rsidRDefault="00534807" w:rsidP="00AF6694">
      <w:pPr>
        <w:pStyle w:val="NormalWeb"/>
        <w:spacing w:before="0" w:beforeAutospacing="0" w:after="0" w:afterAutospacing="0"/>
        <w:rPr>
          <w:rFonts w:asciiTheme="minorHAnsi" w:hAnsiTheme="minorHAnsi"/>
          <w:lang w:val="en-GB"/>
        </w:rPr>
      </w:pPr>
    </w:p>
    <w:p w14:paraId="4C12C7E4" w14:textId="74F464CE" w:rsidR="00534807" w:rsidRPr="003C1910" w:rsidRDefault="00534807" w:rsidP="00534807">
      <w:pPr>
        <w:pStyle w:val="NormalWeb"/>
        <w:numPr>
          <w:ilvl w:val="0"/>
          <w:numId w:val="39"/>
        </w:numPr>
        <w:spacing w:before="0" w:beforeAutospacing="0" w:after="0" w:afterAutospacing="0"/>
        <w:rPr>
          <w:rFonts w:asciiTheme="minorHAnsi" w:hAnsiTheme="minorHAnsi"/>
          <w:lang w:val="en-GB"/>
        </w:rPr>
      </w:pPr>
      <w:r w:rsidRPr="003C1910">
        <w:rPr>
          <w:rFonts w:asciiTheme="minorHAnsi" w:hAnsiTheme="minorHAnsi"/>
          <w:lang w:val="en-GB"/>
        </w:rPr>
        <w:t>4-6 case studies could be added to each topi</w:t>
      </w:r>
      <w:r w:rsidR="0051657E" w:rsidRPr="003C1910">
        <w:rPr>
          <w:rFonts w:asciiTheme="minorHAnsi" w:hAnsiTheme="minorHAnsi"/>
          <w:lang w:val="en-GB"/>
        </w:rPr>
        <w:t>c</w:t>
      </w:r>
      <w:r w:rsidRPr="003C1910">
        <w:rPr>
          <w:rFonts w:asciiTheme="minorHAnsi" w:hAnsiTheme="minorHAnsi"/>
          <w:lang w:val="en-GB"/>
        </w:rPr>
        <w:t xml:space="preserve"> based on the sectors identified here. also, sector-specific national laws could be listed in each topic (to allow trainers to find the most suitable case studies/legislation to their audience)</w:t>
      </w:r>
    </w:p>
    <w:p w14:paraId="43EA2851" w14:textId="255C3BF9" w:rsidR="00A94504" w:rsidRPr="003C1910" w:rsidRDefault="00A94504" w:rsidP="00534807">
      <w:pPr>
        <w:pStyle w:val="NormalWeb"/>
        <w:numPr>
          <w:ilvl w:val="0"/>
          <w:numId w:val="39"/>
        </w:numPr>
        <w:spacing w:before="0" w:beforeAutospacing="0" w:after="0" w:afterAutospacing="0"/>
        <w:rPr>
          <w:rFonts w:asciiTheme="minorHAnsi" w:hAnsiTheme="minorHAnsi"/>
          <w:lang w:val="en-GB"/>
        </w:rPr>
      </w:pPr>
      <w:r w:rsidRPr="003C1910">
        <w:rPr>
          <w:rFonts w:asciiTheme="minorHAnsi" w:hAnsiTheme="minorHAnsi"/>
          <w:lang w:val="en-GB"/>
        </w:rPr>
        <w:lastRenderedPageBreak/>
        <w:t xml:space="preserve">The presentation for this section would be quite lengthy in comparison with its intended time duration, on the assumption that users would remove parts that were not relevant for their trainees. </w:t>
      </w:r>
    </w:p>
    <w:p w14:paraId="26C85DE0" w14:textId="77777777"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color w:val="000000"/>
          <w:szCs w:val="22"/>
          <w:lang w:val="en-GB"/>
        </w:rPr>
        <w:t xml:space="preserve"> </w:t>
      </w:r>
    </w:p>
    <w:p w14:paraId="15BC9255" w14:textId="77777777" w:rsidR="00975FB6" w:rsidRPr="003C1910" w:rsidRDefault="00975FB6">
      <w:pPr>
        <w:spacing w:after="0"/>
        <w:jc w:val="left"/>
        <w:rPr>
          <w:rFonts w:eastAsiaTheme="majorEastAsia" w:cstheme="majorBidi"/>
          <w:b/>
          <w:bCs/>
          <w:color w:val="17365D" w:themeColor="text2" w:themeShade="BF"/>
          <w:sz w:val="32"/>
          <w:szCs w:val="32"/>
          <w:lang w:val="en-GB"/>
        </w:rPr>
      </w:pPr>
      <w:r w:rsidRPr="003C1910">
        <w:rPr>
          <w:lang w:val="en-GB"/>
        </w:rPr>
        <w:br w:type="page"/>
      </w:r>
    </w:p>
    <w:p w14:paraId="202766AA" w14:textId="5185D155" w:rsidR="00AF6694" w:rsidRPr="003C1910" w:rsidRDefault="00D66852" w:rsidP="00D66852">
      <w:pPr>
        <w:pStyle w:val="Heading1"/>
      </w:pPr>
      <w:bookmarkStart w:id="25" w:name="_Toc513797496"/>
      <w:r w:rsidRPr="003C1910">
        <w:lastRenderedPageBreak/>
        <w:t>Training material specifications</w:t>
      </w:r>
      <w:bookmarkEnd w:id="25"/>
    </w:p>
    <w:p w14:paraId="229A5935" w14:textId="77777777" w:rsidR="00AF6694" w:rsidRPr="003C1910" w:rsidRDefault="00AF6694" w:rsidP="00AF6694">
      <w:pPr>
        <w:rPr>
          <w:lang w:val="en-GB"/>
        </w:rPr>
      </w:pPr>
    </w:p>
    <w:p w14:paraId="165D0ABE" w14:textId="77777777" w:rsidR="00AF6694" w:rsidRPr="003C1910" w:rsidRDefault="00AF6694" w:rsidP="00975FB6">
      <w:pPr>
        <w:pStyle w:val="Heading2"/>
        <w:rPr>
          <w:lang w:val="en-GB"/>
        </w:rPr>
      </w:pPr>
      <w:bookmarkStart w:id="26" w:name="_Toc513797497"/>
      <w:r w:rsidRPr="003C1910">
        <w:rPr>
          <w:lang w:val="en-GB"/>
        </w:rPr>
        <w:t>Seminar material specification and requirements</w:t>
      </w:r>
      <w:bookmarkEnd w:id="26"/>
    </w:p>
    <w:p w14:paraId="0A71CF41" w14:textId="226BBFDD" w:rsidR="00AF6694" w:rsidRPr="003C1910" w:rsidRDefault="00A70C4D" w:rsidP="00AF6694">
      <w:pPr>
        <w:rPr>
          <w:lang w:val="en-GB"/>
        </w:rPr>
      </w:pPr>
      <w:r w:rsidRPr="003C1910">
        <w:rPr>
          <w:lang w:val="en-GB"/>
        </w:rPr>
        <w:t xml:space="preserve">For each of the above seminar topics, STAR will produce: </w:t>
      </w:r>
    </w:p>
    <w:p w14:paraId="4B2894E1" w14:textId="77777777" w:rsidR="00AF6694" w:rsidRPr="003C1910" w:rsidRDefault="00AF6694" w:rsidP="00AF6694">
      <w:pPr>
        <w:pStyle w:val="NormalWeb"/>
        <w:spacing w:before="0" w:beforeAutospacing="0" w:after="0" w:afterAutospacing="0"/>
        <w:rPr>
          <w:rFonts w:asciiTheme="minorHAnsi" w:hAnsiTheme="minorHAnsi"/>
          <w:b/>
          <w:lang w:val="en-GB"/>
        </w:rPr>
      </w:pPr>
      <w:r w:rsidRPr="003C1910">
        <w:rPr>
          <w:rFonts w:asciiTheme="minorHAnsi" w:hAnsiTheme="minorHAnsi" w:cs="Arial"/>
          <w:b/>
          <w:color w:val="000000"/>
          <w:szCs w:val="22"/>
          <w:lang w:val="en-GB"/>
        </w:rPr>
        <w:t>Presentations</w:t>
      </w:r>
    </w:p>
    <w:p w14:paraId="6EE45247" w14:textId="77777777" w:rsidR="00AF6694" w:rsidRPr="003C1910" w:rsidRDefault="00AF6694" w:rsidP="00AF6694">
      <w:pPr>
        <w:rPr>
          <w:lang w:val="en-GB"/>
        </w:rPr>
      </w:pPr>
    </w:p>
    <w:p w14:paraId="48356621" w14:textId="53733F1A" w:rsidR="00AF6694" w:rsidRPr="003C1910" w:rsidRDefault="00AF6694" w:rsidP="00AF6694">
      <w:pPr>
        <w:pStyle w:val="NormalWeb"/>
        <w:numPr>
          <w:ilvl w:val="0"/>
          <w:numId w:val="32"/>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A </w:t>
      </w:r>
      <w:r w:rsidRPr="003C1910">
        <w:rPr>
          <w:rFonts w:asciiTheme="minorHAnsi" w:hAnsiTheme="minorHAnsi" w:cs="Arial"/>
          <w:color w:val="000000"/>
          <w:szCs w:val="22"/>
          <w:shd w:val="clear" w:color="auto" w:fill="FF9900"/>
          <w:lang w:val="en-GB"/>
        </w:rPr>
        <w:t>one hour</w:t>
      </w:r>
      <w:r w:rsidRPr="003C1910">
        <w:rPr>
          <w:rFonts w:asciiTheme="minorHAnsi" w:hAnsiTheme="minorHAnsi" w:cs="Arial"/>
          <w:color w:val="000000"/>
          <w:szCs w:val="22"/>
          <w:lang w:val="en-GB"/>
        </w:rPr>
        <w:t xml:space="preserve"> presentation in MS PowerPoint format</w:t>
      </w:r>
      <w:r w:rsidR="0051657E" w:rsidRPr="003C1910">
        <w:rPr>
          <w:rFonts w:asciiTheme="minorHAnsi" w:hAnsiTheme="minorHAnsi" w:cs="Arial"/>
          <w:color w:val="000000"/>
          <w:szCs w:val="22"/>
          <w:lang w:val="en-GB"/>
        </w:rPr>
        <w:t xml:space="preserve"> (time can vary according to the format, but this timeslot seems consistent across the ongoing training, longer sessions can be built up from one-hour modules) </w:t>
      </w:r>
    </w:p>
    <w:p w14:paraId="439BCF0A" w14:textId="77777777" w:rsidR="00AF6694" w:rsidRPr="003C1910" w:rsidRDefault="00AF6694" w:rsidP="00AF6694">
      <w:pPr>
        <w:pStyle w:val="NormalWeb"/>
        <w:numPr>
          <w:ilvl w:val="0"/>
          <w:numId w:val="32"/>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Presentations should be annotated to support the presenter / and allow self-directed reading. A good level of background information is important, because even though we assume an expert trainer, the level of expertise varies, and harmonisation of training is a project goal. </w:t>
      </w:r>
    </w:p>
    <w:p w14:paraId="4B627E4F" w14:textId="77777777" w:rsidR="00AF6694" w:rsidRPr="003C1910" w:rsidRDefault="00AF6694" w:rsidP="00AF6694">
      <w:pPr>
        <w:pStyle w:val="NormalWeb"/>
        <w:numPr>
          <w:ilvl w:val="0"/>
          <w:numId w:val="32"/>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Presentations should follow best practice and guidelines in terms of accessibility: </w:t>
      </w:r>
    </w:p>
    <w:p w14:paraId="1C948813" w14:textId="77777777" w:rsidR="00AF6694" w:rsidRPr="003C1910" w:rsidRDefault="00AF6694" w:rsidP="00AF6694">
      <w:pPr>
        <w:pStyle w:val="NormalWeb"/>
        <w:numPr>
          <w:ilvl w:val="1"/>
          <w:numId w:val="32"/>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 xml:space="preserve">Powerpoint: </w:t>
      </w:r>
      <w:hyperlink r:id="rId29" w:history="1">
        <w:r w:rsidRPr="003C1910">
          <w:rPr>
            <w:rStyle w:val="Hyperlink"/>
            <w:rFonts w:asciiTheme="minorHAnsi" w:hAnsiTheme="minorHAnsi" w:cs="Arial"/>
            <w:color w:val="1155CC"/>
            <w:szCs w:val="22"/>
            <w:lang w:val="en-GB"/>
          </w:rPr>
          <w:t>https://support.office.com/en-us/article/make-your-powerpoint-presentations-accessible-6f7772b2-2f33-4bd2-8ca7-dae3b2b3ef25</w:t>
        </w:r>
      </w:hyperlink>
    </w:p>
    <w:p w14:paraId="0934FF8C" w14:textId="77777777" w:rsidR="00AF6694" w:rsidRPr="00B43801" w:rsidRDefault="00AF6694" w:rsidP="00AF6694">
      <w:pPr>
        <w:pStyle w:val="NormalWeb"/>
        <w:numPr>
          <w:ilvl w:val="1"/>
          <w:numId w:val="32"/>
        </w:numPr>
        <w:spacing w:before="0" w:beforeAutospacing="0" w:after="0" w:afterAutospacing="0"/>
        <w:textAlignment w:val="baseline"/>
        <w:rPr>
          <w:rFonts w:asciiTheme="minorHAnsi" w:hAnsiTheme="minorHAnsi" w:cs="Arial"/>
          <w:color w:val="000000"/>
          <w:szCs w:val="22"/>
          <w:lang w:val="de-DE"/>
        </w:rPr>
      </w:pPr>
      <w:r w:rsidRPr="00B43801">
        <w:rPr>
          <w:rFonts w:asciiTheme="minorHAnsi" w:hAnsiTheme="minorHAnsi" w:cs="Arial"/>
          <w:color w:val="000000"/>
          <w:szCs w:val="22"/>
          <w:lang w:val="de-DE"/>
        </w:rPr>
        <w:t>PDF: https://helpx.adobe.com/in/acrobat/using/create-verify-pdf-accessibility.html</w:t>
      </w:r>
    </w:p>
    <w:p w14:paraId="513C4BA4" w14:textId="77777777" w:rsidR="00AF6694" w:rsidRPr="00B43801" w:rsidRDefault="00AF6694" w:rsidP="00AF6694">
      <w:pPr>
        <w:rPr>
          <w:rFonts w:cs="Times New Roman"/>
          <w:sz w:val="24"/>
          <w:lang w:val="de-DE"/>
        </w:rPr>
      </w:pPr>
    </w:p>
    <w:p w14:paraId="112EABBF" w14:textId="77777777" w:rsidR="00AF6694" w:rsidRPr="003C1910" w:rsidRDefault="00AF6694" w:rsidP="00AF6694">
      <w:pPr>
        <w:pStyle w:val="NormalWeb"/>
        <w:spacing w:before="0" w:beforeAutospacing="0" w:after="0" w:afterAutospacing="0"/>
        <w:rPr>
          <w:rFonts w:asciiTheme="minorHAnsi" w:hAnsiTheme="minorHAnsi"/>
          <w:b/>
          <w:lang w:val="en-GB"/>
        </w:rPr>
      </w:pPr>
      <w:r w:rsidRPr="003C1910">
        <w:rPr>
          <w:rFonts w:asciiTheme="minorHAnsi" w:hAnsiTheme="minorHAnsi" w:cs="Arial"/>
          <w:b/>
          <w:color w:val="000000"/>
          <w:szCs w:val="22"/>
          <w:lang w:val="en-GB"/>
        </w:rPr>
        <w:t>Reading material for participants</w:t>
      </w:r>
    </w:p>
    <w:p w14:paraId="467F77B5" w14:textId="1CAA0A29" w:rsidR="00AF6694" w:rsidRPr="003C1910" w:rsidRDefault="00AF6694" w:rsidP="00AF6694">
      <w:pPr>
        <w:pStyle w:val="NormalWeb"/>
        <w:numPr>
          <w:ilvl w:val="0"/>
          <w:numId w:val="33"/>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Collection of freely accessible material appropriate to the topic (e.g. DPA guidance, Article 29 Opinions on the topic, text of the Regulation)</w:t>
      </w:r>
      <w:r w:rsidR="006D7DD3">
        <w:rPr>
          <w:rFonts w:asciiTheme="minorHAnsi" w:hAnsiTheme="minorHAnsi" w:cs="Arial"/>
          <w:color w:val="000000"/>
          <w:szCs w:val="22"/>
          <w:lang w:val="en-GB"/>
        </w:rPr>
        <w:t xml:space="preserve">, quality-checked by the consortium. </w:t>
      </w:r>
    </w:p>
    <w:p w14:paraId="232032DF" w14:textId="74CE565B" w:rsidR="00AF6694" w:rsidRPr="003C1910" w:rsidRDefault="00AF6694" w:rsidP="00AF6694">
      <w:pPr>
        <w:pStyle w:val="NormalWeb"/>
        <w:numPr>
          <w:ilvl w:val="0"/>
          <w:numId w:val="33"/>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Links to further reading and online resources</w:t>
      </w:r>
      <w:r w:rsidR="0051657E" w:rsidRPr="003C1910">
        <w:rPr>
          <w:rFonts w:asciiTheme="minorHAnsi" w:hAnsiTheme="minorHAnsi" w:cs="Arial"/>
          <w:color w:val="000000"/>
          <w:szCs w:val="22"/>
          <w:lang w:val="en-GB"/>
        </w:rPr>
        <w:t xml:space="preserve"> identified </w:t>
      </w:r>
      <w:r w:rsidR="006D7DD3">
        <w:rPr>
          <w:rFonts w:asciiTheme="minorHAnsi" w:hAnsiTheme="minorHAnsi" w:cs="Arial"/>
          <w:color w:val="000000"/>
          <w:szCs w:val="22"/>
          <w:lang w:val="en-GB"/>
        </w:rPr>
        <w:t xml:space="preserve">and quality-checked </w:t>
      </w:r>
      <w:r w:rsidR="0051657E" w:rsidRPr="003C1910">
        <w:rPr>
          <w:rFonts w:asciiTheme="minorHAnsi" w:hAnsiTheme="minorHAnsi" w:cs="Arial"/>
          <w:color w:val="000000"/>
          <w:szCs w:val="22"/>
          <w:lang w:val="en-GB"/>
        </w:rPr>
        <w:t>by the consortium</w:t>
      </w:r>
      <w:r w:rsidRPr="003C1910">
        <w:rPr>
          <w:rFonts w:asciiTheme="minorHAnsi" w:hAnsiTheme="minorHAnsi" w:cs="Arial"/>
          <w:color w:val="000000"/>
          <w:szCs w:val="22"/>
          <w:lang w:val="en-GB"/>
        </w:rPr>
        <w:t>.</w:t>
      </w:r>
    </w:p>
    <w:p w14:paraId="254C5FDE" w14:textId="77777777" w:rsidR="00AF6694" w:rsidRPr="003C1910" w:rsidRDefault="00AF6694" w:rsidP="00AF6694">
      <w:pPr>
        <w:rPr>
          <w:rFonts w:cs="Times New Roman"/>
          <w:sz w:val="24"/>
          <w:lang w:val="en-GB"/>
        </w:rPr>
      </w:pPr>
    </w:p>
    <w:p w14:paraId="7E068CBB" w14:textId="56E6761B"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 xml:space="preserve">Trainers </w:t>
      </w:r>
      <w:r w:rsidR="00AD2370" w:rsidRPr="003C1910">
        <w:rPr>
          <w:rFonts w:asciiTheme="minorHAnsi" w:hAnsiTheme="minorHAnsi" w:cs="Arial"/>
          <w:b/>
          <w:color w:val="000000"/>
          <w:szCs w:val="22"/>
          <w:lang w:val="en-GB"/>
        </w:rPr>
        <w:t>instructions -</w:t>
      </w:r>
      <w:r w:rsidR="0051657E" w:rsidRPr="003C1910">
        <w:rPr>
          <w:rFonts w:asciiTheme="minorHAnsi" w:hAnsiTheme="minorHAnsi" w:cs="Arial"/>
          <w:color w:val="000000"/>
          <w:szCs w:val="22"/>
          <w:lang w:val="en-GB"/>
        </w:rPr>
        <w:t xml:space="preserve"> guidelines to support the trainer in delivery of the material, but that would not be given to the trainees.</w:t>
      </w:r>
      <w:r w:rsidR="006D7DD3">
        <w:rPr>
          <w:rFonts w:asciiTheme="minorHAnsi" w:hAnsiTheme="minorHAnsi" w:cs="Arial"/>
          <w:color w:val="000000"/>
          <w:szCs w:val="22"/>
          <w:lang w:val="en-GB"/>
        </w:rPr>
        <w:t xml:space="preserve"> These can be provided as either a separate document or added as notes to the presentations. </w:t>
      </w:r>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Th</w:t>
      </w:r>
      <w:r w:rsidR="006D7DD3">
        <w:rPr>
          <w:rFonts w:asciiTheme="minorHAnsi" w:hAnsiTheme="minorHAnsi" w:cs="Arial"/>
          <w:color w:val="000000"/>
          <w:szCs w:val="22"/>
          <w:lang w:val="en-GB"/>
        </w:rPr>
        <w:t xml:space="preserve">ese instructions </w:t>
      </w:r>
      <w:r w:rsidR="0051657E" w:rsidRPr="003C1910">
        <w:rPr>
          <w:rFonts w:asciiTheme="minorHAnsi" w:hAnsiTheme="minorHAnsi" w:cs="Arial"/>
          <w:color w:val="000000"/>
          <w:szCs w:val="22"/>
          <w:lang w:val="en-GB"/>
        </w:rPr>
        <w:t xml:space="preserve"> should include: </w:t>
      </w:r>
    </w:p>
    <w:p w14:paraId="5C51CDE7" w14:textId="5E1A5D55" w:rsidR="00AF6694" w:rsidRDefault="00AF6694" w:rsidP="00AF6694">
      <w:pPr>
        <w:pStyle w:val="NormalWeb"/>
        <w:numPr>
          <w:ilvl w:val="0"/>
          <w:numId w:val="34"/>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Aims and objectives of the seminar</w:t>
      </w:r>
    </w:p>
    <w:p w14:paraId="347B6E68" w14:textId="15F137F4" w:rsidR="006D7DD3" w:rsidRPr="003C1910" w:rsidRDefault="006D7DD3" w:rsidP="00B43801">
      <w:pPr>
        <w:pStyle w:val="NormalWeb"/>
        <w:numPr>
          <w:ilvl w:val="1"/>
          <w:numId w:val="34"/>
        </w:numPr>
        <w:spacing w:before="0" w:beforeAutospacing="0" w:after="0" w:afterAutospacing="0"/>
        <w:textAlignment w:val="baseline"/>
        <w:rPr>
          <w:rFonts w:asciiTheme="minorHAnsi" w:hAnsiTheme="minorHAnsi" w:cs="Arial"/>
          <w:color w:val="000000"/>
          <w:szCs w:val="22"/>
          <w:lang w:val="en-GB"/>
        </w:rPr>
      </w:pPr>
      <w:r>
        <w:rPr>
          <w:rFonts w:asciiTheme="minorHAnsi" w:hAnsiTheme="minorHAnsi" w:cs="Arial"/>
          <w:color w:val="000000"/>
          <w:szCs w:val="22"/>
          <w:lang w:val="en-GB"/>
        </w:rPr>
        <w:t>Intended learning outcomes</w:t>
      </w:r>
    </w:p>
    <w:p w14:paraId="49550D61" w14:textId="61FC487B" w:rsidR="00AF6694" w:rsidRDefault="00AF6694" w:rsidP="00AF6694">
      <w:pPr>
        <w:pStyle w:val="NormalWeb"/>
        <w:numPr>
          <w:ilvl w:val="0"/>
          <w:numId w:val="34"/>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Pedagogic strategies and guidance</w:t>
      </w:r>
    </w:p>
    <w:p w14:paraId="26758368" w14:textId="742B0A06" w:rsidR="006D7DD3" w:rsidRPr="003C1910" w:rsidRDefault="006D7DD3" w:rsidP="00AF6694">
      <w:pPr>
        <w:pStyle w:val="NormalWeb"/>
        <w:numPr>
          <w:ilvl w:val="0"/>
          <w:numId w:val="34"/>
        </w:numPr>
        <w:spacing w:before="0" w:beforeAutospacing="0" w:after="0" w:afterAutospacing="0"/>
        <w:textAlignment w:val="baseline"/>
        <w:rPr>
          <w:rFonts w:asciiTheme="minorHAnsi" w:hAnsiTheme="minorHAnsi" w:cs="Arial"/>
          <w:color w:val="000000"/>
          <w:szCs w:val="22"/>
          <w:lang w:val="en-GB"/>
        </w:rPr>
      </w:pPr>
      <w:r>
        <w:rPr>
          <w:rFonts w:asciiTheme="minorHAnsi" w:hAnsiTheme="minorHAnsi" w:cs="Arial"/>
          <w:color w:val="000000"/>
          <w:szCs w:val="22"/>
          <w:lang w:val="en-GB"/>
        </w:rPr>
        <w:t>Notes on timing</w:t>
      </w:r>
    </w:p>
    <w:p w14:paraId="5EEF22BF" w14:textId="77777777" w:rsidR="00AF6694" w:rsidRPr="003C1910" w:rsidRDefault="00AF6694" w:rsidP="00AF6694">
      <w:pPr>
        <w:pStyle w:val="NormalWeb"/>
        <w:numPr>
          <w:ilvl w:val="0"/>
          <w:numId w:val="34"/>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Approaches towards difficult or commonly misunderstood sections</w:t>
      </w:r>
    </w:p>
    <w:p w14:paraId="1E784D73" w14:textId="1C200893" w:rsidR="006D7DD3" w:rsidRPr="006D7DD3" w:rsidRDefault="00AF6694" w:rsidP="006D7DD3">
      <w:pPr>
        <w:pStyle w:val="NormalWeb"/>
        <w:numPr>
          <w:ilvl w:val="0"/>
          <w:numId w:val="34"/>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Methodology for feedback processing</w:t>
      </w:r>
    </w:p>
    <w:p w14:paraId="14B32CD9" w14:textId="77777777" w:rsidR="00AF6694" w:rsidRPr="003C1910" w:rsidRDefault="00AF6694" w:rsidP="00AF6694">
      <w:pPr>
        <w:rPr>
          <w:rFonts w:cs="Times New Roman"/>
          <w:sz w:val="24"/>
          <w:lang w:val="en-GB"/>
        </w:rPr>
      </w:pPr>
    </w:p>
    <w:p w14:paraId="38CC4A0A" w14:textId="7E14F68C" w:rsidR="00AF6694" w:rsidRPr="003C1910" w:rsidRDefault="00AF6694" w:rsidP="00AF6694">
      <w:pPr>
        <w:pStyle w:val="NormalWeb"/>
        <w:spacing w:before="0" w:beforeAutospacing="0" w:after="0" w:afterAutospacing="0"/>
        <w:rPr>
          <w:rFonts w:asciiTheme="minorHAnsi" w:hAnsiTheme="minorHAnsi"/>
          <w:lang w:val="en-GB"/>
        </w:rPr>
      </w:pPr>
      <w:r w:rsidRPr="003C1910">
        <w:rPr>
          <w:rFonts w:asciiTheme="minorHAnsi" w:hAnsiTheme="minorHAnsi" w:cs="Arial"/>
          <w:b/>
          <w:color w:val="000000"/>
          <w:szCs w:val="22"/>
          <w:lang w:val="en-GB"/>
        </w:rPr>
        <w:t>Operational forms</w:t>
      </w:r>
      <w:r w:rsidR="00A70C4D" w:rsidRPr="003C1910">
        <w:rPr>
          <w:rFonts w:asciiTheme="minorHAnsi" w:hAnsiTheme="minorHAnsi" w:cs="Arial"/>
          <w:color w:val="000000"/>
          <w:szCs w:val="22"/>
          <w:lang w:val="en-GB"/>
        </w:rPr>
        <w:t xml:space="preserve"> which can be used by the trainers to support the hosting and delivery of the training session. These would be created in generic, modular format to be edited as required by the trainer. </w:t>
      </w:r>
    </w:p>
    <w:p w14:paraId="104126DF" w14:textId="484FA265" w:rsidR="00AF6694" w:rsidRPr="003C1910" w:rsidRDefault="00AF6694" w:rsidP="00AF6694">
      <w:pPr>
        <w:pStyle w:val="NormalWeb"/>
        <w:numPr>
          <w:ilvl w:val="0"/>
          <w:numId w:val="3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Invitation letter</w:t>
      </w:r>
      <w:r w:rsidR="00A70C4D" w:rsidRPr="003C1910">
        <w:rPr>
          <w:rFonts w:asciiTheme="minorHAnsi" w:hAnsiTheme="minorHAnsi" w:cs="Arial"/>
          <w:color w:val="000000"/>
          <w:szCs w:val="22"/>
          <w:lang w:val="en-GB"/>
        </w:rPr>
        <w:t xml:space="preserve"> – describing the content, purpose and intended learning outcomes of the training session. </w:t>
      </w:r>
    </w:p>
    <w:p w14:paraId="2E7CE632" w14:textId="248582F6" w:rsidR="00AF6694" w:rsidRPr="003C1910" w:rsidRDefault="00AF6694" w:rsidP="00AF6694">
      <w:pPr>
        <w:pStyle w:val="NormalWeb"/>
        <w:numPr>
          <w:ilvl w:val="0"/>
          <w:numId w:val="3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Participants list</w:t>
      </w:r>
      <w:r w:rsidR="00A70C4D" w:rsidRPr="003C1910">
        <w:rPr>
          <w:rFonts w:asciiTheme="minorHAnsi" w:hAnsiTheme="minorHAnsi" w:cs="Arial"/>
          <w:color w:val="000000"/>
          <w:szCs w:val="22"/>
          <w:lang w:val="en-GB"/>
        </w:rPr>
        <w:t xml:space="preserve"> – Including </w:t>
      </w:r>
      <w:r w:rsidR="007D0BA7">
        <w:rPr>
          <w:rFonts w:asciiTheme="minorHAnsi" w:hAnsiTheme="minorHAnsi" w:cs="Arial"/>
          <w:color w:val="000000"/>
          <w:szCs w:val="22"/>
          <w:lang w:val="en-GB"/>
        </w:rPr>
        <w:t xml:space="preserve">data protection </w:t>
      </w:r>
      <w:r w:rsidR="00A70C4D" w:rsidRPr="003C1910">
        <w:rPr>
          <w:rFonts w:asciiTheme="minorHAnsi" w:hAnsiTheme="minorHAnsi" w:cs="Arial"/>
          <w:color w:val="000000"/>
          <w:szCs w:val="22"/>
          <w:lang w:val="en-GB"/>
        </w:rPr>
        <w:t>consent form</w:t>
      </w:r>
    </w:p>
    <w:p w14:paraId="0897D3F3" w14:textId="624DCD3D" w:rsidR="00AF6694" w:rsidRPr="003C1910" w:rsidRDefault="00AF6694" w:rsidP="00AF6694">
      <w:pPr>
        <w:pStyle w:val="NormalWeb"/>
        <w:numPr>
          <w:ilvl w:val="0"/>
          <w:numId w:val="3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Feedback form</w:t>
      </w:r>
      <w:r w:rsidR="00A70C4D" w:rsidRPr="003C1910">
        <w:rPr>
          <w:rFonts w:asciiTheme="minorHAnsi" w:hAnsiTheme="minorHAnsi" w:cs="Arial"/>
          <w:color w:val="000000"/>
          <w:szCs w:val="22"/>
          <w:lang w:val="en-GB"/>
        </w:rPr>
        <w:t xml:space="preserve"> – a structured form, built along sound methodological basis, to allow the trainer to gather feedback on the delivery and suitability of the training session. Could include insight that would be valuable to STAR. </w:t>
      </w:r>
    </w:p>
    <w:p w14:paraId="43AAC534" w14:textId="48C4E866" w:rsidR="00AF6694" w:rsidRPr="003C1910" w:rsidRDefault="00AF6694" w:rsidP="00AF6694">
      <w:pPr>
        <w:pStyle w:val="NormalWeb"/>
        <w:numPr>
          <w:ilvl w:val="0"/>
          <w:numId w:val="35"/>
        </w:numPr>
        <w:spacing w:before="0" w:beforeAutospacing="0" w:after="0" w:afterAutospacing="0"/>
        <w:textAlignment w:val="baseline"/>
        <w:rPr>
          <w:rFonts w:asciiTheme="minorHAnsi" w:hAnsiTheme="minorHAnsi" w:cs="Arial"/>
          <w:color w:val="000000"/>
          <w:szCs w:val="22"/>
          <w:lang w:val="en-GB"/>
        </w:rPr>
      </w:pPr>
      <w:r w:rsidRPr="003C1910">
        <w:rPr>
          <w:rFonts w:asciiTheme="minorHAnsi" w:hAnsiTheme="minorHAnsi" w:cs="Arial"/>
          <w:color w:val="000000"/>
          <w:szCs w:val="22"/>
          <w:lang w:val="en-GB"/>
        </w:rPr>
        <w:t>Invitation poster / web announcement</w:t>
      </w:r>
      <w:r w:rsidR="00A70C4D" w:rsidRPr="003C1910">
        <w:rPr>
          <w:rFonts w:asciiTheme="minorHAnsi" w:hAnsiTheme="minorHAnsi" w:cs="Arial"/>
          <w:color w:val="000000"/>
          <w:szCs w:val="22"/>
          <w:lang w:val="en-GB"/>
        </w:rPr>
        <w:t xml:space="preserve"> - – describing the content, purpose and intended learning outcomes of the training session.</w:t>
      </w:r>
    </w:p>
    <w:p w14:paraId="095C3103" w14:textId="77777777" w:rsidR="00AF6694" w:rsidRPr="003C1910" w:rsidRDefault="00AF6694" w:rsidP="00AF6694">
      <w:pPr>
        <w:rPr>
          <w:rFonts w:ascii="Times New Roman" w:hAnsi="Times New Roman" w:cs="Times New Roman"/>
          <w:sz w:val="24"/>
          <w:lang w:val="en-GB"/>
        </w:rPr>
      </w:pPr>
    </w:p>
    <w:p w14:paraId="72C9AACE" w14:textId="77777777" w:rsidR="00975FB6" w:rsidRPr="003C1910" w:rsidRDefault="00975FB6">
      <w:pPr>
        <w:spacing w:after="0"/>
        <w:jc w:val="left"/>
        <w:rPr>
          <w:rFonts w:asciiTheme="majorHAnsi" w:eastAsiaTheme="majorEastAsia" w:hAnsiTheme="majorHAnsi" w:cstheme="majorBidi"/>
          <w:b/>
          <w:bCs/>
          <w:color w:val="365F91" w:themeColor="accent1" w:themeShade="BF"/>
          <w:sz w:val="26"/>
          <w:szCs w:val="26"/>
          <w:lang w:val="en-GB"/>
        </w:rPr>
      </w:pPr>
      <w:r w:rsidRPr="003C1910">
        <w:rPr>
          <w:lang w:val="en-GB"/>
        </w:rPr>
        <w:br w:type="page"/>
      </w:r>
    </w:p>
    <w:p w14:paraId="30D100C1" w14:textId="372DCACB" w:rsidR="00AF6694" w:rsidRPr="003C1910" w:rsidRDefault="00AF6694" w:rsidP="00975FB6">
      <w:pPr>
        <w:pStyle w:val="Heading2"/>
        <w:rPr>
          <w:lang w:val="en-GB"/>
        </w:rPr>
      </w:pPr>
      <w:bookmarkStart w:id="27" w:name="_Toc513797498"/>
      <w:r w:rsidRPr="003C1910">
        <w:rPr>
          <w:lang w:val="en-GB"/>
        </w:rPr>
        <w:lastRenderedPageBreak/>
        <w:t>Webinar specification and requirements</w:t>
      </w:r>
      <w:bookmarkEnd w:id="27"/>
    </w:p>
    <w:p w14:paraId="5D16BC96" w14:textId="0774107D" w:rsidR="00AF6694" w:rsidRDefault="00AF6694" w:rsidP="00AF6694">
      <w:pPr>
        <w:rPr>
          <w:lang w:val="en-GB"/>
        </w:rPr>
      </w:pPr>
    </w:p>
    <w:p w14:paraId="0AA94A47" w14:textId="53B48274" w:rsidR="006D7DD3" w:rsidRDefault="006D7DD3" w:rsidP="00AF6694">
      <w:pPr>
        <w:rPr>
          <w:lang w:val="en-GB"/>
        </w:rPr>
      </w:pPr>
      <w:r>
        <w:rPr>
          <w:lang w:val="en-GB"/>
        </w:rPr>
        <w:t>STAR will produce a complete, ready</w:t>
      </w:r>
      <w:r w:rsidR="00165265">
        <w:rPr>
          <w:lang w:val="en-GB"/>
        </w:rPr>
        <w:t>-</w:t>
      </w:r>
      <w:r>
        <w:rPr>
          <w:lang w:val="en-GB"/>
        </w:rPr>
        <w:t>to</w:t>
      </w:r>
      <w:r w:rsidR="00165265">
        <w:rPr>
          <w:lang w:val="en-GB"/>
        </w:rPr>
        <w:t>-</w:t>
      </w:r>
      <w:r>
        <w:rPr>
          <w:lang w:val="en-GB"/>
        </w:rPr>
        <w:t xml:space="preserve">teach webinar based upon one of the above training topics – most likely the introductory topic 1. </w:t>
      </w:r>
      <w:r w:rsidR="004A5F1D">
        <w:rPr>
          <w:lang w:val="en-GB"/>
        </w:rPr>
        <w:t xml:space="preserve">Webinars can suffer from problems such as distracted or "multitasking" </w:t>
      </w:r>
      <w:r w:rsidR="00165265">
        <w:rPr>
          <w:lang w:val="en-GB"/>
        </w:rPr>
        <w:t>participants but</w:t>
      </w:r>
      <w:r w:rsidR="004A5F1D">
        <w:rPr>
          <w:lang w:val="en-GB"/>
        </w:rPr>
        <w:t xml:space="preserve"> were seen by STAR's stakeholders as be</w:t>
      </w:r>
      <w:r w:rsidR="002D6B8C">
        <w:rPr>
          <w:lang w:val="en-GB"/>
        </w:rPr>
        <w:t>ing</w:t>
      </w:r>
      <w:r w:rsidR="004A5F1D">
        <w:rPr>
          <w:lang w:val="en-GB"/>
        </w:rPr>
        <w:t xml:space="preserve"> a useful supplement to face-to-face training, particularly in terms of making efficient use of </w:t>
      </w:r>
      <w:r w:rsidR="00F72885">
        <w:rPr>
          <w:lang w:val="en-GB"/>
        </w:rPr>
        <w:t>resources</w:t>
      </w:r>
      <w:r w:rsidR="004A5F1D">
        <w:rPr>
          <w:lang w:val="en-GB"/>
        </w:rPr>
        <w:t xml:space="preserve"> and </w:t>
      </w:r>
      <w:r w:rsidR="00F72885">
        <w:rPr>
          <w:lang w:val="en-GB"/>
        </w:rPr>
        <w:t>scaling</w:t>
      </w:r>
      <w:r w:rsidR="004A5F1D">
        <w:rPr>
          <w:lang w:val="en-GB"/>
        </w:rPr>
        <w:t xml:space="preserve"> well. For many purposes, whilst not as effective as face-to-face training, they were seen as sufficient ("good enough") for general introductions to GDPR and GDPR requirements for non-specialist staff </w:t>
      </w:r>
      <w:r w:rsidR="009A2F6D">
        <w:rPr>
          <w:lang w:val="en-GB"/>
        </w:rPr>
        <w:t>in the company, such as front-desk officers.</w:t>
      </w:r>
    </w:p>
    <w:p w14:paraId="185EEE21" w14:textId="2B2FC5F2" w:rsidR="006D7DD3" w:rsidRPr="004A5F1D" w:rsidRDefault="006D7DD3" w:rsidP="00B43801">
      <w:pPr>
        <w:pStyle w:val="ListParagraph"/>
        <w:numPr>
          <w:ilvl w:val="0"/>
          <w:numId w:val="45"/>
        </w:numPr>
        <w:rPr>
          <w:lang w:val="en-GB"/>
        </w:rPr>
      </w:pPr>
      <w:r w:rsidRPr="006D7DD3">
        <w:rPr>
          <w:lang w:val="en-GB"/>
        </w:rPr>
        <w:t xml:space="preserve">Existing webinars identified by STAR tended to run between 30 to 90 minutes, and the </w:t>
      </w:r>
      <w:r w:rsidRPr="004A5F1D">
        <w:rPr>
          <w:lang w:val="en-GB"/>
        </w:rPr>
        <w:t>STAR webinar will fit into this timeframe</w:t>
      </w:r>
      <w:r w:rsidR="009A2F6D" w:rsidRPr="004A5F1D">
        <w:rPr>
          <w:lang w:val="en-GB"/>
        </w:rPr>
        <w:t>.</w:t>
      </w:r>
      <w:r w:rsidR="009A2F6D">
        <w:rPr>
          <w:lang w:val="en-GB"/>
        </w:rPr>
        <w:t xml:space="preserve"> but</w:t>
      </w:r>
      <w:r w:rsidR="004A5F1D">
        <w:rPr>
          <w:lang w:val="en-GB"/>
        </w:rPr>
        <w:t xml:space="preserve"> should </w:t>
      </w:r>
      <w:r w:rsidR="009A2F6D">
        <w:rPr>
          <w:lang w:val="en-GB"/>
        </w:rPr>
        <w:t>last</w:t>
      </w:r>
      <w:r w:rsidR="004A5F1D">
        <w:rPr>
          <w:lang w:val="en-GB"/>
        </w:rPr>
        <w:t xml:space="preserve"> no more than one hour.  If the material to be delivered in the webinar cannot be condensed into one hour, the webinar </w:t>
      </w:r>
      <w:r w:rsidR="009A2F6D">
        <w:rPr>
          <w:lang w:val="en-GB"/>
        </w:rPr>
        <w:t xml:space="preserve">will be broken </w:t>
      </w:r>
      <w:r w:rsidR="004A5F1D">
        <w:rPr>
          <w:lang w:val="en-GB"/>
        </w:rPr>
        <w:t>up into multiple</w:t>
      </w:r>
      <w:r w:rsidR="009A2F6D">
        <w:rPr>
          <w:lang w:val="en-GB"/>
        </w:rPr>
        <w:t>,</w:t>
      </w:r>
      <w:r w:rsidR="004A5F1D">
        <w:rPr>
          <w:lang w:val="en-GB"/>
        </w:rPr>
        <w:t xml:space="preserve"> separate sessions. </w:t>
      </w:r>
    </w:p>
    <w:p w14:paraId="1DB52164" w14:textId="62C9A995" w:rsidR="006D7DD3" w:rsidRDefault="006D7DD3" w:rsidP="006D7DD3">
      <w:pPr>
        <w:pStyle w:val="ListParagraph"/>
        <w:numPr>
          <w:ilvl w:val="0"/>
          <w:numId w:val="45"/>
        </w:numPr>
        <w:rPr>
          <w:lang w:val="en-GB"/>
        </w:rPr>
      </w:pPr>
      <w:r w:rsidRPr="00F238E2">
        <w:rPr>
          <w:lang w:val="en-GB"/>
        </w:rPr>
        <w:t>STAR will explore solutions for hosting this webinar, through online e-learning platform</w:t>
      </w:r>
      <w:r w:rsidR="009A2F6D">
        <w:rPr>
          <w:lang w:val="en-GB"/>
        </w:rPr>
        <w:t>s</w:t>
      </w:r>
      <w:r w:rsidRPr="00F238E2">
        <w:rPr>
          <w:lang w:val="en-GB"/>
        </w:rPr>
        <w:t>, or through simpler hosting solutions</w:t>
      </w:r>
      <w:r w:rsidR="009A2F6D">
        <w:rPr>
          <w:lang w:val="en-GB"/>
        </w:rPr>
        <w:t>,</w:t>
      </w:r>
      <w:r w:rsidRPr="00F238E2">
        <w:rPr>
          <w:lang w:val="en-GB"/>
        </w:rPr>
        <w:t xml:space="preserve"> such as </w:t>
      </w:r>
      <w:proofErr w:type="spellStart"/>
      <w:r w:rsidRPr="00F238E2">
        <w:rPr>
          <w:lang w:val="en-GB"/>
        </w:rPr>
        <w:t>Sli</w:t>
      </w:r>
      <w:r w:rsidRPr="00B23703">
        <w:rPr>
          <w:lang w:val="en-GB"/>
        </w:rPr>
        <w:t>deshare</w:t>
      </w:r>
      <w:proofErr w:type="spellEnd"/>
      <w:r w:rsidRPr="00B23703">
        <w:rPr>
          <w:lang w:val="en-GB"/>
        </w:rPr>
        <w:t xml:space="preserve"> or You</w:t>
      </w:r>
      <w:r w:rsidR="009A2F6D">
        <w:rPr>
          <w:lang w:val="en-GB"/>
        </w:rPr>
        <w:t>T</w:t>
      </w:r>
      <w:r w:rsidRPr="00B23703">
        <w:rPr>
          <w:lang w:val="en-GB"/>
        </w:rPr>
        <w:t xml:space="preserve">ube. </w:t>
      </w:r>
    </w:p>
    <w:p w14:paraId="37F0EE8E" w14:textId="3A37B4F4" w:rsidR="004A5F1D" w:rsidRDefault="004A5F1D" w:rsidP="006D7DD3">
      <w:pPr>
        <w:pStyle w:val="ListParagraph"/>
        <w:numPr>
          <w:ilvl w:val="0"/>
          <w:numId w:val="45"/>
        </w:numPr>
        <w:rPr>
          <w:lang w:val="en-GB"/>
        </w:rPr>
      </w:pPr>
      <w:r>
        <w:rPr>
          <w:lang w:val="en-GB"/>
        </w:rPr>
        <w:t xml:space="preserve">The webinar should be distinct from a simple narrated presentation. </w:t>
      </w:r>
      <w:r w:rsidR="00D91FAF">
        <w:rPr>
          <w:lang w:val="en-GB"/>
        </w:rPr>
        <w:t>The latter</w:t>
      </w:r>
      <w:r w:rsidR="00F72885">
        <w:rPr>
          <w:lang w:val="en-GB"/>
        </w:rPr>
        <w:t xml:space="preserve"> does not take advantage of the strengths of the </w:t>
      </w:r>
      <w:r w:rsidR="00D91FAF">
        <w:rPr>
          <w:lang w:val="en-GB"/>
        </w:rPr>
        <w:t>webinar and</w:t>
      </w:r>
      <w:r w:rsidR="00F72885">
        <w:rPr>
          <w:lang w:val="en-GB"/>
        </w:rPr>
        <w:t xml:space="preserve"> is not an effective learning strategy. </w:t>
      </w:r>
    </w:p>
    <w:p w14:paraId="648B95E5" w14:textId="108CCBC2" w:rsidR="00F72885" w:rsidRPr="004A5F1D" w:rsidRDefault="00F72885" w:rsidP="00B43801">
      <w:pPr>
        <w:pStyle w:val="ListParagraph"/>
        <w:numPr>
          <w:ilvl w:val="1"/>
          <w:numId w:val="45"/>
        </w:numPr>
        <w:rPr>
          <w:lang w:val="en-GB"/>
        </w:rPr>
      </w:pPr>
      <w:r>
        <w:rPr>
          <w:lang w:val="en-GB"/>
        </w:rPr>
        <w:t xml:space="preserve">However, the webinar will likely be recorded and re-used by non-interactive passive viewers, and the script should take this into account (for example, suggesting activities for "those of your watching this as a recording"). </w:t>
      </w:r>
    </w:p>
    <w:p w14:paraId="6E1FD36E" w14:textId="0625CF62" w:rsidR="00F72885" w:rsidRDefault="00F72885" w:rsidP="006D7DD3">
      <w:pPr>
        <w:pStyle w:val="ListParagraph"/>
        <w:numPr>
          <w:ilvl w:val="0"/>
          <w:numId w:val="45"/>
        </w:numPr>
        <w:rPr>
          <w:lang w:val="en-GB"/>
        </w:rPr>
      </w:pPr>
      <w:r>
        <w:rPr>
          <w:lang w:val="en-GB"/>
        </w:rPr>
        <w:t>STAR will develop an accompanying presenters</w:t>
      </w:r>
      <w:r w:rsidR="00251D37">
        <w:rPr>
          <w:lang w:val="en-GB"/>
        </w:rPr>
        <w:t>-</w:t>
      </w:r>
      <w:r>
        <w:rPr>
          <w:lang w:val="en-GB"/>
        </w:rPr>
        <w:t xml:space="preserve">guide and </w:t>
      </w:r>
      <w:r w:rsidR="00251D37">
        <w:rPr>
          <w:lang w:val="en-GB"/>
        </w:rPr>
        <w:t>-</w:t>
      </w:r>
      <w:r>
        <w:rPr>
          <w:lang w:val="en-GB"/>
        </w:rPr>
        <w:t>script</w:t>
      </w:r>
    </w:p>
    <w:p w14:paraId="1D3F0D46" w14:textId="739194CD" w:rsidR="006D7DD3" w:rsidRDefault="006D7DD3" w:rsidP="00F72885">
      <w:pPr>
        <w:pStyle w:val="ListParagraph"/>
        <w:numPr>
          <w:ilvl w:val="1"/>
          <w:numId w:val="45"/>
        </w:numPr>
        <w:rPr>
          <w:lang w:val="en-GB"/>
        </w:rPr>
      </w:pPr>
      <w:r w:rsidRPr="00F72885">
        <w:rPr>
          <w:lang w:val="en-GB"/>
        </w:rPr>
        <w:t xml:space="preserve">As the presenter's script for a webinar should not simply mimic what is displayed upon screen, the webinar will include both a presentation and a presenter's script. </w:t>
      </w:r>
      <w:r w:rsidR="004A5F1D">
        <w:rPr>
          <w:lang w:val="en-GB"/>
        </w:rPr>
        <w:t>The speaker's notes should take into account timings (including for transitions) and the presence of animation/slide transitions or other elements (e.g. video) as well as logistical elements (demonstrating and explaining any relevant webinar tools</w:t>
      </w:r>
      <w:r w:rsidR="00F72885">
        <w:rPr>
          <w:lang w:val="en-GB"/>
        </w:rPr>
        <w:t xml:space="preserve">, responding to participant questions). </w:t>
      </w:r>
    </w:p>
    <w:p w14:paraId="362BC87E" w14:textId="33067123" w:rsidR="00F72885" w:rsidRDefault="00F72885" w:rsidP="00B43801">
      <w:pPr>
        <w:pStyle w:val="ListParagraph"/>
        <w:numPr>
          <w:ilvl w:val="1"/>
          <w:numId w:val="45"/>
        </w:numPr>
        <w:rPr>
          <w:lang w:val="en-GB"/>
        </w:rPr>
      </w:pPr>
      <w:r>
        <w:rPr>
          <w:lang w:val="en-GB"/>
        </w:rPr>
        <w:t>It will also include guidance on delivering a successful webinar (e.g</w:t>
      </w:r>
      <w:r w:rsidR="002A4D5D">
        <w:rPr>
          <w:lang w:val="en-GB"/>
        </w:rPr>
        <w:t>.</w:t>
      </w:r>
      <w:r>
        <w:rPr>
          <w:lang w:val="en-GB"/>
        </w:rPr>
        <w:t xml:space="preserve"> the use of dedicated host/facilitator in addition to the presenter, conducting a trial/dry-run before the webinar). </w:t>
      </w:r>
    </w:p>
    <w:p w14:paraId="01773F77" w14:textId="192F1E83" w:rsidR="006D7DD3" w:rsidRDefault="006D7DD3" w:rsidP="006D7DD3">
      <w:pPr>
        <w:pStyle w:val="ListParagraph"/>
        <w:numPr>
          <w:ilvl w:val="0"/>
          <w:numId w:val="45"/>
        </w:numPr>
        <w:rPr>
          <w:lang w:val="en-GB"/>
        </w:rPr>
      </w:pPr>
      <w:r>
        <w:rPr>
          <w:lang w:val="en-GB"/>
        </w:rPr>
        <w:t>Virtual presentations require fairly rapid slide-transitions</w:t>
      </w:r>
      <w:r w:rsidR="004A5F1D">
        <w:rPr>
          <w:lang w:val="en-GB"/>
        </w:rPr>
        <w:t xml:space="preserve"> or movement (every 20-40 second) </w:t>
      </w:r>
      <w:r>
        <w:rPr>
          <w:lang w:val="en-GB"/>
        </w:rPr>
        <w:t>in comparison with face to face presentations in order to retain audience attention.</w:t>
      </w:r>
      <w:r w:rsidR="004A5F1D">
        <w:rPr>
          <w:lang w:val="en-GB"/>
        </w:rPr>
        <w:t xml:space="preserve"> Otherwise, standard best practices for slide design should apply. </w:t>
      </w:r>
    </w:p>
    <w:p w14:paraId="5202EEBA" w14:textId="6ACAEE59" w:rsidR="004A5F1D" w:rsidRDefault="004A5F1D" w:rsidP="006D7DD3">
      <w:pPr>
        <w:pStyle w:val="ListParagraph"/>
        <w:numPr>
          <w:ilvl w:val="0"/>
          <w:numId w:val="45"/>
        </w:numPr>
        <w:rPr>
          <w:lang w:val="en-GB"/>
        </w:rPr>
      </w:pPr>
      <w:r>
        <w:rPr>
          <w:lang w:val="en-GB"/>
        </w:rPr>
        <w:t xml:space="preserve">Webinars should make effective and frequent use of graphical elements. </w:t>
      </w:r>
    </w:p>
    <w:p w14:paraId="0626AFD7" w14:textId="3D503F3A" w:rsidR="004A5F1D" w:rsidRDefault="004A5F1D" w:rsidP="006D7DD3">
      <w:pPr>
        <w:pStyle w:val="ListParagraph"/>
        <w:numPr>
          <w:ilvl w:val="0"/>
          <w:numId w:val="45"/>
        </w:numPr>
        <w:rPr>
          <w:lang w:val="en-GB"/>
        </w:rPr>
      </w:pPr>
      <w:r>
        <w:rPr>
          <w:lang w:val="en-GB"/>
        </w:rPr>
        <w:t xml:space="preserve">The webinar should include opportunities for interactivity (opening exercise, polls, questions, discussion points), including a closing discussion. </w:t>
      </w:r>
    </w:p>
    <w:p w14:paraId="4A965D46" w14:textId="387E9D92" w:rsidR="00F72885" w:rsidRDefault="00F72885" w:rsidP="00F72885">
      <w:pPr>
        <w:pStyle w:val="ListParagraph"/>
        <w:numPr>
          <w:ilvl w:val="1"/>
          <w:numId w:val="45"/>
        </w:numPr>
        <w:rPr>
          <w:lang w:val="en-GB"/>
        </w:rPr>
      </w:pPr>
      <w:r>
        <w:rPr>
          <w:lang w:val="en-GB"/>
        </w:rPr>
        <w:t xml:space="preserve">Best practices suggest opportunities for interaction every four minutes or so. </w:t>
      </w:r>
    </w:p>
    <w:p w14:paraId="6C6FCA2B" w14:textId="34BDF819" w:rsidR="00F72885" w:rsidRDefault="00F72885" w:rsidP="00B43801">
      <w:pPr>
        <w:pStyle w:val="ListParagraph"/>
        <w:numPr>
          <w:ilvl w:val="1"/>
          <w:numId w:val="45"/>
        </w:numPr>
        <w:rPr>
          <w:lang w:val="en-GB"/>
        </w:rPr>
      </w:pPr>
      <w:r>
        <w:rPr>
          <w:lang w:val="en-GB"/>
        </w:rPr>
        <w:t>Closing exercises can help participants recognise what they have learned.</w:t>
      </w:r>
    </w:p>
    <w:p w14:paraId="0813D6E9" w14:textId="4E4ED246" w:rsidR="004A5F1D" w:rsidRDefault="004A5F1D" w:rsidP="006D7DD3">
      <w:pPr>
        <w:pStyle w:val="ListParagraph"/>
        <w:numPr>
          <w:ilvl w:val="0"/>
          <w:numId w:val="45"/>
        </w:numPr>
        <w:rPr>
          <w:lang w:val="en-GB"/>
        </w:rPr>
      </w:pPr>
      <w:r>
        <w:rPr>
          <w:lang w:val="en-GB"/>
        </w:rPr>
        <w:t xml:space="preserve">Webinars allow little time for in-depth explanations. </w:t>
      </w:r>
    </w:p>
    <w:p w14:paraId="40E5B234" w14:textId="1B088380" w:rsidR="00F72885" w:rsidRPr="006D7DD3" w:rsidRDefault="00F72885" w:rsidP="00B43801">
      <w:pPr>
        <w:pStyle w:val="ListParagraph"/>
        <w:numPr>
          <w:ilvl w:val="0"/>
          <w:numId w:val="45"/>
        </w:numPr>
        <w:rPr>
          <w:lang w:val="en-GB"/>
        </w:rPr>
      </w:pPr>
      <w:r>
        <w:rPr>
          <w:lang w:val="en-GB"/>
        </w:rPr>
        <w:t xml:space="preserve">Webinar should also put learners towards further sources of information and additional STAR material (e.g. further reading, and the other material detailed below) will be bundled with the webinar to be given to trainees </w:t>
      </w:r>
      <w:r w:rsidR="00601E8B">
        <w:rPr>
          <w:lang w:val="en-GB"/>
        </w:rPr>
        <w:t>after the session</w:t>
      </w:r>
      <w:r>
        <w:rPr>
          <w:lang w:val="en-GB"/>
        </w:rPr>
        <w:t xml:space="preserve">. </w:t>
      </w:r>
    </w:p>
    <w:p w14:paraId="72677EB0" w14:textId="77777777" w:rsidR="006D7DD3" w:rsidRPr="003C1910" w:rsidRDefault="006D7DD3" w:rsidP="00AF6694">
      <w:pPr>
        <w:rPr>
          <w:lang w:val="en-GB"/>
        </w:rPr>
      </w:pPr>
    </w:p>
    <w:p w14:paraId="7EAEB3B0" w14:textId="77777777" w:rsidR="007D00E8" w:rsidRDefault="007D00E8">
      <w:pPr>
        <w:spacing w:after="0"/>
        <w:jc w:val="left"/>
        <w:rPr>
          <w:rFonts w:ascii="Arial" w:hAnsi="Arial" w:cs="Arial"/>
          <w:color w:val="000000"/>
          <w:szCs w:val="22"/>
          <w:lang w:val="en-GB"/>
        </w:rPr>
      </w:pPr>
      <w:r>
        <w:rPr>
          <w:rFonts w:ascii="Arial" w:hAnsi="Arial" w:cs="Arial"/>
          <w:color w:val="000000"/>
          <w:szCs w:val="22"/>
          <w:lang w:val="en-GB"/>
        </w:rPr>
        <w:br w:type="page"/>
      </w:r>
    </w:p>
    <w:p w14:paraId="53A0A905" w14:textId="1ACA1A4B" w:rsidR="00975FB6" w:rsidRPr="003C1910" w:rsidRDefault="00975FB6">
      <w:pPr>
        <w:spacing w:after="0"/>
        <w:jc w:val="left"/>
        <w:rPr>
          <w:rFonts w:asciiTheme="majorHAnsi" w:eastAsiaTheme="majorEastAsia" w:hAnsiTheme="majorHAnsi" w:cstheme="majorBidi"/>
          <w:b/>
          <w:bCs/>
          <w:color w:val="365F91" w:themeColor="accent1" w:themeShade="BF"/>
          <w:sz w:val="26"/>
          <w:szCs w:val="26"/>
          <w:lang w:val="en-GB"/>
        </w:rPr>
      </w:pPr>
    </w:p>
    <w:p w14:paraId="3505278C" w14:textId="3DAA919A" w:rsidR="00AF6694" w:rsidRPr="003C1910" w:rsidRDefault="00AF6694" w:rsidP="00975FB6">
      <w:pPr>
        <w:pStyle w:val="Heading2"/>
        <w:rPr>
          <w:lang w:val="en-GB"/>
        </w:rPr>
      </w:pPr>
      <w:bookmarkStart w:id="28" w:name="_Toc513797499"/>
      <w:r w:rsidRPr="003C1910">
        <w:rPr>
          <w:lang w:val="en-GB"/>
        </w:rPr>
        <w:lastRenderedPageBreak/>
        <w:t>Training Handbook specification and requirements</w:t>
      </w:r>
      <w:bookmarkEnd w:id="28"/>
    </w:p>
    <w:p w14:paraId="21CAE720" w14:textId="77777777" w:rsidR="00AF6694" w:rsidRPr="00C00AAF" w:rsidRDefault="00AF6694" w:rsidP="00AF6694">
      <w:pPr>
        <w:rPr>
          <w:szCs w:val="22"/>
          <w:lang w:val="en-GB"/>
        </w:rPr>
      </w:pPr>
    </w:p>
    <w:p w14:paraId="788BA858" w14:textId="0A5CCDFE" w:rsidR="00096CE8" w:rsidRDefault="00601E8B" w:rsidP="00AF6694">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STAR will develop a short </w:t>
      </w:r>
      <w:r w:rsidR="00096CE8">
        <w:rPr>
          <w:rFonts w:asciiTheme="minorHAnsi" w:hAnsiTheme="minorHAnsi" w:cs="Arial"/>
          <w:color w:val="000000"/>
          <w:szCs w:val="22"/>
          <w:lang w:val="en-GB"/>
        </w:rPr>
        <w:t>handbook for trainers delivering training on the GDPR , and in particular those trainers making use of the STAR training materials. Whilst each of the STAR presentations</w:t>
      </w:r>
      <w:r w:rsidR="00981623">
        <w:rPr>
          <w:rFonts w:asciiTheme="minorHAnsi" w:hAnsiTheme="minorHAnsi" w:cs="Arial"/>
          <w:color w:val="000000"/>
          <w:szCs w:val="22"/>
          <w:lang w:val="en-GB"/>
        </w:rPr>
        <w:t xml:space="preserve"> (see 4.1 above)</w:t>
      </w:r>
      <w:r w:rsidR="00096CE8">
        <w:rPr>
          <w:rFonts w:asciiTheme="minorHAnsi" w:hAnsiTheme="minorHAnsi" w:cs="Arial"/>
          <w:color w:val="000000"/>
          <w:szCs w:val="22"/>
          <w:lang w:val="en-GB"/>
        </w:rPr>
        <w:t xml:space="preserve"> </w:t>
      </w:r>
      <w:r w:rsidR="00981623">
        <w:rPr>
          <w:rFonts w:asciiTheme="minorHAnsi" w:hAnsiTheme="minorHAnsi" w:cs="Arial"/>
          <w:color w:val="000000"/>
          <w:szCs w:val="22"/>
          <w:lang w:val="en-GB"/>
        </w:rPr>
        <w:t xml:space="preserve">will include individual guidance, this handbook provides guidance and support across the range of materials. </w:t>
      </w:r>
    </w:p>
    <w:p w14:paraId="2EE9C6E6" w14:textId="59803367" w:rsidR="00F238E2" w:rsidRPr="00B43801" w:rsidRDefault="00F238E2" w:rsidP="00AF6694">
      <w:pPr>
        <w:pStyle w:val="NormalWeb"/>
        <w:spacing w:before="0" w:beforeAutospacing="0" w:after="0" w:afterAutospacing="0"/>
        <w:rPr>
          <w:rFonts w:asciiTheme="minorHAnsi" w:hAnsiTheme="minorHAnsi" w:cs="Arial"/>
          <w:color w:val="000000"/>
          <w:szCs w:val="22"/>
          <w:lang w:val="en-GB"/>
        </w:rPr>
      </w:pPr>
    </w:p>
    <w:p w14:paraId="40B81E2F" w14:textId="1FFEF08A" w:rsidR="001B17AA" w:rsidRPr="00B43801" w:rsidRDefault="00F238E2" w:rsidP="00AF6694">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The objectives for the text </w:t>
      </w:r>
      <w:r w:rsidR="00317188" w:rsidRPr="00B43801">
        <w:rPr>
          <w:rFonts w:asciiTheme="minorHAnsi" w:hAnsiTheme="minorHAnsi" w:cs="Arial"/>
          <w:color w:val="000000"/>
          <w:szCs w:val="22"/>
          <w:lang w:val="en-GB"/>
        </w:rPr>
        <w:t>are:</w:t>
      </w:r>
    </w:p>
    <w:p w14:paraId="2640EC0F" w14:textId="1922C951" w:rsidR="00F238E2" w:rsidRDefault="00096CE8" w:rsidP="00317188">
      <w:pPr>
        <w:pStyle w:val="NormalWeb"/>
        <w:numPr>
          <w:ilvl w:val="0"/>
          <w:numId w:val="50"/>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To provide trainers with guidance on using the other STAR materials.</w:t>
      </w:r>
    </w:p>
    <w:p w14:paraId="6E2F21F9" w14:textId="25572CDE" w:rsidR="00096CE8" w:rsidRDefault="00096CE8" w:rsidP="00317188">
      <w:pPr>
        <w:pStyle w:val="NormalWeb"/>
        <w:numPr>
          <w:ilvl w:val="0"/>
          <w:numId w:val="50"/>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 xml:space="preserve">To provide trainers with additional knowledge around GDPR training that has been gathered by the STAR consortium, including through the stakeholder interviews and the trails of the STAR materials. </w:t>
      </w:r>
    </w:p>
    <w:p w14:paraId="1C60FED7" w14:textId="7D4BC794" w:rsidR="00981623" w:rsidRDefault="00981623" w:rsidP="00317188">
      <w:pPr>
        <w:pStyle w:val="NormalWeb"/>
        <w:numPr>
          <w:ilvl w:val="0"/>
          <w:numId w:val="50"/>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To sensitise trainers to issues that may emerge in GDPR training</w:t>
      </w:r>
    </w:p>
    <w:p w14:paraId="4F15ED02" w14:textId="0B74C128" w:rsidR="00096CE8" w:rsidRPr="00B43801" w:rsidRDefault="00096CE8" w:rsidP="00317188">
      <w:pPr>
        <w:pStyle w:val="NormalWeb"/>
        <w:numPr>
          <w:ilvl w:val="0"/>
          <w:numId w:val="50"/>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 xml:space="preserve">Provide pedagogic support to trainers who may lack previous training experience (e.g. a DPO). </w:t>
      </w:r>
    </w:p>
    <w:p w14:paraId="17D3A37A" w14:textId="3CE843F3" w:rsidR="00317188" w:rsidRPr="00B43801" w:rsidRDefault="00317188" w:rsidP="00317188">
      <w:pPr>
        <w:pStyle w:val="NormalWeb"/>
        <w:spacing w:before="0" w:beforeAutospacing="0" w:after="0" w:afterAutospacing="0"/>
        <w:ind w:left="720"/>
        <w:rPr>
          <w:rFonts w:asciiTheme="minorHAnsi" w:hAnsiTheme="minorHAnsi" w:cs="Arial"/>
          <w:color w:val="000000"/>
          <w:szCs w:val="22"/>
          <w:lang w:val="en-GB"/>
        </w:rPr>
      </w:pPr>
    </w:p>
    <w:p w14:paraId="35839280" w14:textId="59FA7859" w:rsidR="00317188" w:rsidRPr="00B43801" w:rsidRDefault="00317188" w:rsidP="00317188">
      <w:pPr>
        <w:pStyle w:val="NormalWeb"/>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The text will: </w:t>
      </w:r>
    </w:p>
    <w:p w14:paraId="0C85F103" w14:textId="129CBC8A" w:rsidR="007A2BAC" w:rsidRPr="00B43801" w:rsidRDefault="00317188" w:rsidP="007A2BAC">
      <w:pPr>
        <w:pStyle w:val="NormalWeb"/>
        <w:numPr>
          <w:ilvl w:val="0"/>
          <w:numId w:val="46"/>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B</w:t>
      </w:r>
      <w:r w:rsidR="007A2BAC" w:rsidRPr="00B43801">
        <w:rPr>
          <w:rFonts w:asciiTheme="minorHAnsi" w:hAnsiTheme="minorHAnsi" w:cs="Arial"/>
          <w:color w:val="000000"/>
          <w:szCs w:val="22"/>
          <w:lang w:val="en-GB"/>
        </w:rPr>
        <w:t>e</w:t>
      </w:r>
      <w:r w:rsidRPr="00B43801">
        <w:rPr>
          <w:rFonts w:asciiTheme="minorHAnsi" w:hAnsiTheme="minorHAnsi" w:cs="Arial"/>
          <w:color w:val="000000"/>
          <w:szCs w:val="22"/>
          <w:lang w:val="en-GB"/>
        </w:rPr>
        <w:t xml:space="preserve"> between</w:t>
      </w:r>
      <w:r w:rsidR="007A2BAC" w:rsidRPr="00B43801">
        <w:rPr>
          <w:rFonts w:asciiTheme="minorHAnsi" w:hAnsiTheme="minorHAnsi" w:cs="Arial"/>
          <w:color w:val="000000"/>
          <w:szCs w:val="22"/>
          <w:lang w:val="en-GB"/>
        </w:rPr>
        <w:t xml:space="preserve"> 10-15 pages </w:t>
      </w:r>
      <w:r w:rsidRPr="00B43801">
        <w:rPr>
          <w:rFonts w:asciiTheme="minorHAnsi" w:hAnsiTheme="minorHAnsi" w:cs="Arial"/>
          <w:color w:val="000000"/>
          <w:szCs w:val="22"/>
          <w:lang w:val="en-GB"/>
        </w:rPr>
        <w:t xml:space="preserve">in length </w:t>
      </w:r>
    </w:p>
    <w:p w14:paraId="1542A8C6" w14:textId="5131D90D" w:rsidR="007A2BAC" w:rsidRPr="00B43801" w:rsidRDefault="007A2BAC" w:rsidP="007A2BAC">
      <w:pPr>
        <w:pStyle w:val="NormalWeb"/>
        <w:numPr>
          <w:ilvl w:val="0"/>
          <w:numId w:val="46"/>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Content should include: </w:t>
      </w:r>
    </w:p>
    <w:p w14:paraId="0060A35D" w14:textId="0E86BAAE" w:rsidR="007A2BAC" w:rsidRDefault="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Introduction</w:t>
      </w:r>
    </w:p>
    <w:p w14:paraId="61B46FC4" w14:textId="63ED8974" w:rsidR="00096CE8" w:rsidRDefault="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Challenges in GDPR training</w:t>
      </w:r>
    </w:p>
    <w:p w14:paraId="2ABF0254" w14:textId="55E28C3F" w:rsidR="00096CE8" w:rsidRDefault="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Best practices in GDPR training</w:t>
      </w:r>
    </w:p>
    <w:p w14:paraId="3021A998" w14:textId="6F2B29F2" w:rsidR="00096CE8" w:rsidRDefault="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F.A.Q from GDPR training</w:t>
      </w:r>
    </w:p>
    <w:p w14:paraId="65F519AE" w14:textId="41F62819" w:rsidR="00096CE8" w:rsidRDefault="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Using the STAR materials</w:t>
      </w:r>
    </w:p>
    <w:p w14:paraId="1B6D1250" w14:textId="433C0021" w:rsidR="00096CE8" w:rsidRDefault="00096CE8" w:rsidP="00096CE8">
      <w:pPr>
        <w:pStyle w:val="NormalWeb"/>
        <w:numPr>
          <w:ilvl w:val="2"/>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Individually</w:t>
      </w:r>
    </w:p>
    <w:p w14:paraId="3FE92570" w14:textId="0A9A2117" w:rsidR="00096CE8" w:rsidRDefault="00096CE8" w:rsidP="00096CE8">
      <w:pPr>
        <w:pStyle w:val="NormalWeb"/>
        <w:numPr>
          <w:ilvl w:val="2"/>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As a complete training course</w:t>
      </w:r>
    </w:p>
    <w:p w14:paraId="43E86E3A" w14:textId="208DF8F5" w:rsidR="00096CE8" w:rsidRDefault="00096CE8" w:rsidP="00096CE8">
      <w:pPr>
        <w:pStyle w:val="NormalWeb"/>
        <w:numPr>
          <w:ilvl w:val="1"/>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Guidance on adapting the STAR materials to a trainers specific</w:t>
      </w:r>
    </w:p>
    <w:p w14:paraId="55F420E2" w14:textId="019496B7" w:rsidR="00096CE8" w:rsidRDefault="00096CE8" w:rsidP="00096CE8">
      <w:pPr>
        <w:pStyle w:val="NormalWeb"/>
        <w:numPr>
          <w:ilvl w:val="2"/>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Organisation;</w:t>
      </w:r>
    </w:p>
    <w:p w14:paraId="628422E4" w14:textId="1234EEE4" w:rsidR="00096CE8" w:rsidRDefault="00096CE8" w:rsidP="00096CE8">
      <w:pPr>
        <w:pStyle w:val="NormalWeb"/>
        <w:numPr>
          <w:ilvl w:val="2"/>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Industry; or</w:t>
      </w:r>
    </w:p>
    <w:p w14:paraId="2AABEFEE" w14:textId="46CC7CEE" w:rsidR="00096CE8" w:rsidRPr="00B43801" w:rsidRDefault="00096CE8" w:rsidP="00B43801">
      <w:pPr>
        <w:pStyle w:val="NormalWeb"/>
        <w:numPr>
          <w:ilvl w:val="2"/>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Country;</w:t>
      </w:r>
    </w:p>
    <w:p w14:paraId="48FD8D02" w14:textId="5EAFA78A" w:rsidR="007A2BAC" w:rsidRDefault="007A2BAC" w:rsidP="007A2BAC">
      <w:pPr>
        <w:pStyle w:val="NormalWeb"/>
        <w:numPr>
          <w:ilvl w:val="0"/>
          <w:numId w:val="46"/>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The handbook will be provided in .doc format to enable its editing and re-use within organisational environments and as a completely formatted PDF in STAR branding for immediate dissemination and use. </w:t>
      </w:r>
    </w:p>
    <w:p w14:paraId="13BB4422" w14:textId="2D26270F" w:rsidR="00096CE8" w:rsidRPr="00B43801" w:rsidRDefault="00096CE8" w:rsidP="007A2BAC">
      <w:pPr>
        <w:pStyle w:val="NormalWeb"/>
        <w:numPr>
          <w:ilvl w:val="0"/>
          <w:numId w:val="46"/>
        </w:numPr>
        <w:spacing w:before="0" w:beforeAutospacing="0" w:after="0" w:afterAutospacing="0"/>
        <w:rPr>
          <w:rFonts w:asciiTheme="minorHAnsi" w:hAnsiTheme="minorHAnsi" w:cs="Arial"/>
          <w:color w:val="000000"/>
          <w:szCs w:val="22"/>
          <w:lang w:val="en-GB"/>
        </w:rPr>
      </w:pPr>
      <w:r>
        <w:rPr>
          <w:rFonts w:asciiTheme="minorHAnsi" w:hAnsiTheme="minorHAnsi" w:cs="Arial"/>
          <w:color w:val="000000"/>
          <w:szCs w:val="22"/>
          <w:lang w:val="en-GB"/>
        </w:rPr>
        <w:t xml:space="preserve">An initial draft version of the handbook will be developed in workstream 3 and then insights from the testing of the training materials will be included in the handbook as part of Workstream 4. </w:t>
      </w:r>
    </w:p>
    <w:p w14:paraId="23AC3275" w14:textId="4CE58913" w:rsidR="007A2BAC" w:rsidRPr="00B43801" w:rsidRDefault="007A2BAC" w:rsidP="00B43801">
      <w:pPr>
        <w:pStyle w:val="NormalWeb"/>
        <w:numPr>
          <w:ilvl w:val="0"/>
          <w:numId w:val="46"/>
        </w:numPr>
        <w:spacing w:before="0" w:beforeAutospacing="0" w:after="0" w:afterAutospacing="0"/>
        <w:rPr>
          <w:rFonts w:asciiTheme="minorHAnsi" w:hAnsiTheme="minorHAnsi" w:cs="Arial"/>
          <w:color w:val="000000"/>
          <w:szCs w:val="22"/>
          <w:lang w:val="en-GB"/>
        </w:rPr>
      </w:pPr>
      <w:r w:rsidRPr="00B43801">
        <w:rPr>
          <w:rFonts w:asciiTheme="minorHAnsi" w:hAnsiTheme="minorHAnsi" w:cs="Arial"/>
          <w:color w:val="000000"/>
          <w:szCs w:val="22"/>
          <w:lang w:val="en-GB"/>
        </w:rPr>
        <w:t xml:space="preserve">The handbook will not be printed by STAR. </w:t>
      </w:r>
    </w:p>
    <w:p w14:paraId="56644319" w14:textId="77777777" w:rsidR="00601E8B" w:rsidRDefault="00601E8B" w:rsidP="00AF6694">
      <w:pPr>
        <w:pStyle w:val="NormalWeb"/>
        <w:spacing w:before="0" w:beforeAutospacing="0" w:after="0" w:afterAutospacing="0"/>
        <w:rPr>
          <w:rFonts w:ascii="Arial" w:hAnsi="Arial" w:cs="Arial"/>
          <w:color w:val="000000"/>
          <w:szCs w:val="22"/>
          <w:lang w:val="en-GB"/>
        </w:rPr>
      </w:pPr>
    </w:p>
    <w:p w14:paraId="5E5DFEA1" w14:textId="77777777" w:rsidR="00AF6694" w:rsidRPr="003C1910" w:rsidRDefault="00AF6694" w:rsidP="00AF6694">
      <w:pPr>
        <w:spacing w:after="240"/>
        <w:rPr>
          <w:lang w:val="en-GB"/>
        </w:rPr>
      </w:pPr>
      <w:r w:rsidRPr="003C1910">
        <w:rPr>
          <w:lang w:val="en-GB"/>
        </w:rPr>
        <w:br/>
      </w:r>
    </w:p>
    <w:p w14:paraId="56FE4B6A" w14:textId="77777777" w:rsidR="00AF6694" w:rsidRPr="003C1910" w:rsidRDefault="00AF6694" w:rsidP="00AF6694">
      <w:pPr>
        <w:rPr>
          <w:lang w:val="en-GB"/>
        </w:rPr>
      </w:pPr>
    </w:p>
    <w:p w14:paraId="526E10EA" w14:textId="77777777" w:rsidR="00975FB6" w:rsidRPr="003C1910" w:rsidRDefault="00975FB6">
      <w:pPr>
        <w:spacing w:after="0"/>
        <w:jc w:val="left"/>
        <w:rPr>
          <w:rFonts w:asciiTheme="majorHAnsi" w:eastAsiaTheme="majorEastAsia" w:hAnsiTheme="majorHAnsi" w:cstheme="majorBidi"/>
          <w:b/>
          <w:bCs/>
          <w:color w:val="365F91" w:themeColor="accent1" w:themeShade="BF"/>
          <w:sz w:val="26"/>
          <w:szCs w:val="26"/>
          <w:lang w:val="en-GB"/>
        </w:rPr>
      </w:pPr>
      <w:r w:rsidRPr="003C1910">
        <w:rPr>
          <w:lang w:val="en-GB"/>
        </w:rPr>
        <w:br w:type="page"/>
      </w:r>
    </w:p>
    <w:p w14:paraId="05734774" w14:textId="77777777" w:rsidR="007A2BAC" w:rsidRPr="00C00AAF" w:rsidRDefault="007A2BAC" w:rsidP="00B43801">
      <w:pPr>
        <w:rPr>
          <w:lang w:val="en-GB"/>
        </w:rPr>
      </w:pPr>
    </w:p>
    <w:p w14:paraId="61534080" w14:textId="77777777" w:rsidR="00D45CAB" w:rsidRDefault="00D45CAB" w:rsidP="00B43801">
      <w:pPr>
        <w:pStyle w:val="Heading2"/>
        <w:rPr>
          <w:lang w:val="en-GB"/>
        </w:rPr>
      </w:pPr>
      <w:r w:rsidRPr="003C1910">
        <w:rPr>
          <w:lang w:val="en-GB"/>
        </w:rPr>
        <w:t>GDPR Compliance checklist for data controllers specification and requirements</w:t>
      </w:r>
    </w:p>
    <w:p w14:paraId="51DE4E55" w14:textId="56BFD486" w:rsidR="00D45CAB" w:rsidRDefault="00D45CAB" w:rsidP="00D45CAB">
      <w:pPr>
        <w:rPr>
          <w:lang w:val="en-GB"/>
        </w:rPr>
      </w:pPr>
      <w:r>
        <w:rPr>
          <w:lang w:val="en-GB"/>
        </w:rPr>
        <w:t xml:space="preserve">STAR will develop a </w:t>
      </w:r>
      <w:r w:rsidR="002D6B8C">
        <w:rPr>
          <w:lang w:val="en-GB"/>
        </w:rPr>
        <w:t>short</w:t>
      </w:r>
      <w:r>
        <w:rPr>
          <w:lang w:val="en-GB"/>
        </w:rPr>
        <w:t xml:space="preserve"> checklist document for data controllers</w:t>
      </w:r>
      <w:r w:rsidR="002D6B8C">
        <w:rPr>
          <w:lang w:val="en-GB"/>
        </w:rPr>
        <w:t xml:space="preserve"> (one to two pages)</w:t>
      </w:r>
      <w:r>
        <w:rPr>
          <w:lang w:val="en-GB"/>
        </w:rPr>
        <w:t xml:space="preserve">. The questions on the checklist will be designed to assist the data controller in achieving compliance with the requirements of the GDPR. </w:t>
      </w:r>
    </w:p>
    <w:p w14:paraId="586FF8EE" w14:textId="77777777" w:rsidR="00D45CAB" w:rsidRDefault="00D45CAB" w:rsidP="00D45CAB">
      <w:pPr>
        <w:rPr>
          <w:lang w:val="en-GB"/>
        </w:rPr>
      </w:pPr>
      <w:r>
        <w:rPr>
          <w:lang w:val="en-GB"/>
        </w:rPr>
        <w:t xml:space="preserve">The checklist will likely include: </w:t>
      </w:r>
    </w:p>
    <w:p w14:paraId="5AADAB6F" w14:textId="3CC7E3E8" w:rsidR="00D45CAB" w:rsidRDefault="00401455" w:rsidP="00D45CAB">
      <w:pPr>
        <w:pStyle w:val="ListParagraph"/>
        <w:numPr>
          <w:ilvl w:val="0"/>
          <w:numId w:val="47"/>
        </w:numPr>
        <w:rPr>
          <w:lang w:val="en-GB"/>
        </w:rPr>
      </w:pPr>
      <w:r>
        <w:rPr>
          <w:lang w:val="en-GB"/>
        </w:rPr>
        <w:t>Assessing on whether the GDPR applies;</w:t>
      </w:r>
    </w:p>
    <w:p w14:paraId="5396AD85" w14:textId="77777777" w:rsidR="00D45CAB" w:rsidRDefault="00D45CAB" w:rsidP="00D45CAB">
      <w:pPr>
        <w:pStyle w:val="ListParagraph"/>
        <w:numPr>
          <w:ilvl w:val="0"/>
          <w:numId w:val="47"/>
        </w:numPr>
        <w:rPr>
          <w:lang w:val="en-GB"/>
        </w:rPr>
      </w:pPr>
      <w:r>
        <w:rPr>
          <w:lang w:val="en-GB"/>
        </w:rPr>
        <w:t>Having a legal basis for processing</w:t>
      </w:r>
    </w:p>
    <w:p w14:paraId="568BAC3E" w14:textId="1AF5B411" w:rsidR="00D45CAB" w:rsidRDefault="00D45CAB" w:rsidP="00D45CAB">
      <w:pPr>
        <w:pStyle w:val="ListParagraph"/>
        <w:numPr>
          <w:ilvl w:val="0"/>
          <w:numId w:val="47"/>
        </w:numPr>
        <w:rPr>
          <w:lang w:val="en-GB"/>
        </w:rPr>
      </w:pPr>
      <w:r>
        <w:rPr>
          <w:lang w:val="en-GB"/>
        </w:rPr>
        <w:t>Understanding the data h</w:t>
      </w:r>
      <w:r w:rsidR="00401455">
        <w:rPr>
          <w:lang w:val="en-GB"/>
        </w:rPr>
        <w:t>e</w:t>
      </w:r>
      <w:r>
        <w:rPr>
          <w:lang w:val="en-GB"/>
        </w:rPr>
        <w:t>ld and process</w:t>
      </w:r>
      <w:r w:rsidR="00401455">
        <w:rPr>
          <w:lang w:val="en-GB"/>
        </w:rPr>
        <w:t>ed by the organisation</w:t>
      </w:r>
    </w:p>
    <w:p w14:paraId="3D104722" w14:textId="423BDD27" w:rsidR="0007384E" w:rsidRDefault="0007384E" w:rsidP="00D45CAB">
      <w:pPr>
        <w:pStyle w:val="ListParagraph"/>
        <w:numPr>
          <w:ilvl w:val="0"/>
          <w:numId w:val="47"/>
        </w:numPr>
        <w:rPr>
          <w:lang w:val="en-GB"/>
        </w:rPr>
      </w:pPr>
      <w:r>
        <w:rPr>
          <w:lang w:val="en-GB"/>
        </w:rPr>
        <w:t xml:space="preserve">Checking whether </w:t>
      </w:r>
      <w:r w:rsidR="00C55E20">
        <w:rPr>
          <w:lang w:val="en-GB"/>
        </w:rPr>
        <w:t>procedures are adequate to fulfil duties towards data subjects</w:t>
      </w:r>
    </w:p>
    <w:p w14:paraId="475BBA10" w14:textId="77777777" w:rsidR="00D45CAB" w:rsidRDefault="00D45CAB" w:rsidP="00D45CAB">
      <w:pPr>
        <w:pStyle w:val="ListParagraph"/>
        <w:numPr>
          <w:ilvl w:val="0"/>
          <w:numId w:val="47"/>
        </w:numPr>
        <w:rPr>
          <w:lang w:val="en-GB"/>
        </w:rPr>
      </w:pPr>
      <w:r>
        <w:rPr>
          <w:lang w:val="en-GB"/>
        </w:rPr>
        <w:t>Having appropriate security and organisational measure in place</w:t>
      </w:r>
    </w:p>
    <w:p w14:paraId="24FDD51A" w14:textId="5F09AB38" w:rsidR="00D45CAB" w:rsidRDefault="00D45CAB" w:rsidP="00D45CAB">
      <w:pPr>
        <w:pStyle w:val="ListParagraph"/>
        <w:numPr>
          <w:ilvl w:val="0"/>
          <w:numId w:val="47"/>
        </w:numPr>
        <w:rPr>
          <w:lang w:val="en-GB"/>
        </w:rPr>
      </w:pPr>
      <w:r>
        <w:rPr>
          <w:lang w:val="en-GB"/>
        </w:rPr>
        <w:t>Deciding to appoint a DPO</w:t>
      </w:r>
      <w:r w:rsidR="00401455">
        <w:rPr>
          <w:lang w:val="en-GB"/>
        </w:rPr>
        <w:t xml:space="preserve"> and details about their </w:t>
      </w:r>
      <w:r w:rsidR="002D6B8C">
        <w:rPr>
          <w:lang w:val="en-GB"/>
        </w:rPr>
        <w:t>position</w:t>
      </w:r>
      <w:r w:rsidR="00401455">
        <w:rPr>
          <w:lang w:val="en-GB"/>
        </w:rPr>
        <w:t xml:space="preserve"> in the company</w:t>
      </w:r>
    </w:p>
    <w:p w14:paraId="38E4FF64" w14:textId="57B0DBD3" w:rsidR="00D45CAB" w:rsidRDefault="00D45CAB" w:rsidP="00D45CAB">
      <w:pPr>
        <w:pStyle w:val="ListParagraph"/>
        <w:numPr>
          <w:ilvl w:val="0"/>
          <w:numId w:val="47"/>
        </w:numPr>
        <w:rPr>
          <w:lang w:val="en-GB"/>
        </w:rPr>
      </w:pPr>
      <w:r>
        <w:rPr>
          <w:lang w:val="en-GB"/>
        </w:rPr>
        <w:t>Understanding relationship</w:t>
      </w:r>
      <w:r w:rsidR="002D6B8C">
        <w:rPr>
          <w:lang w:val="en-GB"/>
        </w:rPr>
        <w:t>s</w:t>
      </w:r>
      <w:r>
        <w:rPr>
          <w:lang w:val="en-GB"/>
        </w:rPr>
        <w:t xml:space="preserve"> with data processors</w:t>
      </w:r>
    </w:p>
    <w:p w14:paraId="7ED8DC4D" w14:textId="6FAB087C" w:rsidR="00401455" w:rsidRDefault="00401455" w:rsidP="00D45CAB">
      <w:pPr>
        <w:pStyle w:val="ListParagraph"/>
        <w:numPr>
          <w:ilvl w:val="0"/>
          <w:numId w:val="47"/>
        </w:numPr>
        <w:rPr>
          <w:lang w:val="en-GB"/>
        </w:rPr>
      </w:pPr>
      <w:r>
        <w:rPr>
          <w:lang w:val="en-GB"/>
        </w:rPr>
        <w:t>Checking whether data breach response systems are in place</w:t>
      </w:r>
    </w:p>
    <w:p w14:paraId="2965D427" w14:textId="70409DD0" w:rsidR="00401455" w:rsidRPr="00C55E20" w:rsidRDefault="00401455" w:rsidP="00C55E20">
      <w:pPr>
        <w:pStyle w:val="ListParagraph"/>
        <w:numPr>
          <w:ilvl w:val="0"/>
          <w:numId w:val="47"/>
        </w:numPr>
        <w:rPr>
          <w:lang w:val="en-GB"/>
        </w:rPr>
      </w:pPr>
      <w:r>
        <w:rPr>
          <w:lang w:val="en-GB"/>
        </w:rPr>
        <w:t>Assessing whether data transfers occur, if they are lawful, and how they are managed</w:t>
      </w:r>
    </w:p>
    <w:p w14:paraId="3C544AA5" w14:textId="714B26C8" w:rsidR="00AF6694" w:rsidRPr="00B43801" w:rsidRDefault="00AF6694" w:rsidP="00B43801">
      <w:pPr>
        <w:pStyle w:val="Heading2"/>
        <w:numPr>
          <w:ilvl w:val="0"/>
          <w:numId w:val="0"/>
        </w:numPr>
        <w:rPr>
          <w:rFonts w:ascii="Arial" w:hAnsi="Arial" w:cs="Arial"/>
          <w:color w:val="000000"/>
          <w:szCs w:val="22"/>
          <w:lang w:val="en-GB"/>
        </w:rPr>
      </w:pPr>
    </w:p>
    <w:p w14:paraId="08C07B54" w14:textId="77777777" w:rsidR="00AF6694" w:rsidRPr="003C1910" w:rsidRDefault="00AF6694" w:rsidP="00975FB6">
      <w:pPr>
        <w:pStyle w:val="Heading2"/>
        <w:numPr>
          <w:ilvl w:val="0"/>
          <w:numId w:val="0"/>
        </w:numPr>
        <w:ind w:left="936"/>
        <w:rPr>
          <w:lang w:val="en-GB"/>
        </w:rPr>
      </w:pPr>
    </w:p>
    <w:p w14:paraId="05B963E9" w14:textId="77777777" w:rsidR="00975FB6" w:rsidRPr="003C1910" w:rsidRDefault="00975FB6">
      <w:pPr>
        <w:spacing w:after="0"/>
        <w:jc w:val="left"/>
        <w:rPr>
          <w:rFonts w:asciiTheme="majorHAnsi" w:eastAsiaTheme="majorEastAsia" w:hAnsiTheme="majorHAnsi" w:cstheme="majorBidi"/>
          <w:b/>
          <w:bCs/>
          <w:color w:val="365F91" w:themeColor="accent1" w:themeShade="BF"/>
          <w:sz w:val="26"/>
          <w:szCs w:val="26"/>
          <w:lang w:val="en-GB"/>
        </w:rPr>
      </w:pPr>
      <w:r w:rsidRPr="003C1910">
        <w:rPr>
          <w:lang w:val="en-GB"/>
        </w:rPr>
        <w:br w:type="page"/>
      </w:r>
    </w:p>
    <w:p w14:paraId="5B4801C2" w14:textId="70991CF3" w:rsidR="00AF6694" w:rsidRPr="003C1910" w:rsidRDefault="00AE2CB2" w:rsidP="00975FB6">
      <w:pPr>
        <w:pStyle w:val="Heading2"/>
        <w:rPr>
          <w:lang w:val="en-GB"/>
        </w:rPr>
      </w:pPr>
      <w:bookmarkStart w:id="29" w:name="_Toc513797501"/>
      <w:r>
        <w:rPr>
          <w:lang w:val="en-GB"/>
        </w:rPr>
        <w:lastRenderedPageBreak/>
        <w:t>One-page</w:t>
      </w:r>
      <w:r w:rsidR="00B23703">
        <w:rPr>
          <w:lang w:val="en-GB"/>
        </w:rPr>
        <w:t xml:space="preserve"> introduction to the GDPR -</w:t>
      </w:r>
      <w:r w:rsidR="00AF6694" w:rsidRPr="003C1910">
        <w:rPr>
          <w:lang w:val="en-GB"/>
        </w:rPr>
        <w:t xml:space="preserve"> specification and requirements</w:t>
      </w:r>
      <w:bookmarkEnd w:id="29"/>
    </w:p>
    <w:p w14:paraId="72BCB4F4" w14:textId="51B0DF3B" w:rsidR="005D044E" w:rsidRDefault="005D044E" w:rsidP="00AF6694">
      <w:pPr>
        <w:rPr>
          <w:lang w:val="en-GB"/>
        </w:rPr>
      </w:pPr>
      <w:r>
        <w:rPr>
          <w:lang w:val="en-GB"/>
        </w:rPr>
        <w:t xml:space="preserve">STAR will develop a single-page introduction to the GDPR document that is generic, applicable to all and aimed at wide dissemination. </w:t>
      </w:r>
    </w:p>
    <w:p w14:paraId="0B0BEF40" w14:textId="05EB85BB" w:rsidR="005D044E" w:rsidRDefault="005D044E" w:rsidP="00AF6694">
      <w:pPr>
        <w:rPr>
          <w:lang w:val="en-GB"/>
        </w:rPr>
      </w:pPr>
      <w:r>
        <w:rPr>
          <w:lang w:val="en-GB"/>
        </w:rPr>
        <w:t>It is intended to be disseminated with other STAR training mate</w:t>
      </w:r>
      <w:r w:rsidR="00B23703">
        <w:rPr>
          <w:lang w:val="en-GB"/>
        </w:rPr>
        <w:t xml:space="preserve">rials a quick reference, but also to serve the function of a quick precis. This document would primarily be intended for DPOs to provide to other non-specialist staff who may have some engagement with the GDPR but who do not need an in-depth knowledge of the legislation. This might include staff in roles that do not intersect with personal data and even senior management in organisations that do not processes significant amounts of personal data. The audience is effectively staff that may have heard the term "GDPR" but who have no further knowledge than this. </w:t>
      </w:r>
    </w:p>
    <w:p w14:paraId="3775FCC6" w14:textId="7E15EAC1" w:rsidR="00B23703" w:rsidRDefault="00B23703" w:rsidP="00AF6694">
      <w:pPr>
        <w:rPr>
          <w:lang w:val="en-GB"/>
        </w:rPr>
      </w:pPr>
      <w:r>
        <w:rPr>
          <w:lang w:val="en-GB"/>
        </w:rPr>
        <w:t xml:space="preserve">The summary will include: </w:t>
      </w:r>
    </w:p>
    <w:p w14:paraId="29DBEF37" w14:textId="568C8768" w:rsidR="00B23703" w:rsidRDefault="00B23703" w:rsidP="00B23703">
      <w:pPr>
        <w:pStyle w:val="ListParagraph"/>
        <w:numPr>
          <w:ilvl w:val="0"/>
          <w:numId w:val="48"/>
        </w:numPr>
        <w:rPr>
          <w:lang w:val="en-GB"/>
        </w:rPr>
      </w:pPr>
      <w:r>
        <w:rPr>
          <w:lang w:val="en-GB"/>
        </w:rPr>
        <w:t>The origin of the law in the EU and the rationale for its development</w:t>
      </w:r>
    </w:p>
    <w:p w14:paraId="4EC9E2C8" w14:textId="3CF88A57" w:rsidR="00B23703" w:rsidRDefault="00B23703" w:rsidP="00B23703">
      <w:pPr>
        <w:pStyle w:val="ListParagraph"/>
        <w:numPr>
          <w:ilvl w:val="0"/>
          <w:numId w:val="48"/>
        </w:numPr>
        <w:rPr>
          <w:lang w:val="en-GB"/>
        </w:rPr>
      </w:pPr>
      <w:r>
        <w:rPr>
          <w:lang w:val="en-GB"/>
        </w:rPr>
        <w:t>Its applicability (</w:t>
      </w:r>
      <w:r w:rsidR="002D6B8C">
        <w:rPr>
          <w:lang w:val="en-GB"/>
        </w:rPr>
        <w:t>the people and places that it applies to).</w:t>
      </w:r>
    </w:p>
    <w:p w14:paraId="50005C29" w14:textId="23A4D6F1" w:rsidR="00B23703" w:rsidRDefault="00B23703" w:rsidP="00B23703">
      <w:pPr>
        <w:pStyle w:val="ListParagraph"/>
        <w:numPr>
          <w:ilvl w:val="0"/>
          <w:numId w:val="48"/>
        </w:numPr>
        <w:rPr>
          <w:lang w:val="en-GB"/>
        </w:rPr>
      </w:pPr>
      <w:r>
        <w:rPr>
          <w:lang w:val="en-GB"/>
        </w:rPr>
        <w:t>A definition of personal data</w:t>
      </w:r>
    </w:p>
    <w:p w14:paraId="05D6B23F" w14:textId="3D6E4D16" w:rsidR="00B23703" w:rsidRDefault="00B23703" w:rsidP="00B23703">
      <w:pPr>
        <w:pStyle w:val="ListParagraph"/>
        <w:numPr>
          <w:ilvl w:val="0"/>
          <w:numId w:val="48"/>
        </w:numPr>
        <w:rPr>
          <w:lang w:val="en-GB"/>
        </w:rPr>
      </w:pPr>
      <w:r>
        <w:rPr>
          <w:lang w:val="en-GB"/>
        </w:rPr>
        <w:t>A summary of</w:t>
      </w:r>
      <w:r w:rsidR="00364229">
        <w:rPr>
          <w:lang w:val="en-GB"/>
        </w:rPr>
        <w:t xml:space="preserve"> the</w:t>
      </w:r>
      <w:r>
        <w:rPr>
          <w:lang w:val="en-GB"/>
        </w:rPr>
        <w:t xml:space="preserve"> rights of the data subject</w:t>
      </w:r>
    </w:p>
    <w:p w14:paraId="4B901CBC" w14:textId="20546009" w:rsidR="00364229" w:rsidRDefault="00981623" w:rsidP="00B23703">
      <w:pPr>
        <w:pStyle w:val="ListParagraph"/>
        <w:numPr>
          <w:ilvl w:val="0"/>
          <w:numId w:val="48"/>
        </w:numPr>
        <w:rPr>
          <w:lang w:val="en-GB"/>
        </w:rPr>
      </w:pPr>
      <w:r>
        <w:rPr>
          <w:lang w:val="en-GB"/>
        </w:rPr>
        <w:t xml:space="preserve">An explanation of what </w:t>
      </w:r>
      <w:r w:rsidR="00364229">
        <w:rPr>
          <w:lang w:val="en-GB"/>
        </w:rPr>
        <w:t>a data breach</w:t>
      </w:r>
      <w:r>
        <w:rPr>
          <w:lang w:val="en-GB"/>
        </w:rPr>
        <w:t xml:space="preserve"> is</w:t>
      </w:r>
    </w:p>
    <w:p w14:paraId="5E410AA6" w14:textId="0A72C627" w:rsidR="00B23703" w:rsidRDefault="00B23703" w:rsidP="00B23703">
      <w:pPr>
        <w:pStyle w:val="ListParagraph"/>
        <w:numPr>
          <w:ilvl w:val="0"/>
          <w:numId w:val="48"/>
        </w:numPr>
        <w:rPr>
          <w:lang w:val="en-GB"/>
        </w:rPr>
      </w:pPr>
      <w:r>
        <w:rPr>
          <w:lang w:val="en-GB"/>
        </w:rPr>
        <w:t>Link to the legislation and other next steps for information</w:t>
      </w:r>
    </w:p>
    <w:p w14:paraId="49AC08F3" w14:textId="3768FF6D" w:rsidR="00B23703" w:rsidRDefault="00B23703">
      <w:pPr>
        <w:pStyle w:val="ListParagraph"/>
        <w:numPr>
          <w:ilvl w:val="0"/>
          <w:numId w:val="48"/>
        </w:numPr>
        <w:rPr>
          <w:lang w:val="en-GB"/>
        </w:rPr>
      </w:pPr>
      <w:r>
        <w:rPr>
          <w:lang w:val="en-GB"/>
        </w:rPr>
        <w:t>Major impacts or changes</w:t>
      </w:r>
    </w:p>
    <w:p w14:paraId="521BD5CF" w14:textId="0F45B978" w:rsidR="00E718F2" w:rsidRPr="00B23703" w:rsidRDefault="00E718F2" w:rsidP="00B43801">
      <w:pPr>
        <w:pStyle w:val="ListParagraph"/>
        <w:numPr>
          <w:ilvl w:val="0"/>
          <w:numId w:val="48"/>
        </w:numPr>
        <w:rPr>
          <w:lang w:val="en-GB"/>
        </w:rPr>
      </w:pPr>
      <w:r>
        <w:rPr>
          <w:lang w:val="en-GB"/>
        </w:rPr>
        <w:t xml:space="preserve">And other </w:t>
      </w:r>
      <w:r w:rsidR="00905E51">
        <w:rPr>
          <w:lang w:val="en-GB"/>
        </w:rPr>
        <w:t xml:space="preserve">topics, as appropriate. </w:t>
      </w:r>
    </w:p>
    <w:p w14:paraId="1F3A8B03" w14:textId="5FF4ED0B" w:rsidR="002D6B8C" w:rsidRDefault="00B23703" w:rsidP="00AF6694">
      <w:pPr>
        <w:rPr>
          <w:lang w:val="en-GB"/>
        </w:rPr>
      </w:pPr>
      <w:r>
        <w:rPr>
          <w:lang w:val="en-GB"/>
        </w:rPr>
        <w:t xml:space="preserve">The text will include blank space for the DPO to insert their own contact information, allowing the one-page document to serve as a reminder of the point of contact within the organisation for any data protection issues, and as a call-to-action for the recipient to follow-up any further data protection concerns or questions with specialists. This space may also be used to promote </w:t>
      </w:r>
      <w:r w:rsidR="007D00E8">
        <w:rPr>
          <w:lang w:val="en-GB"/>
        </w:rPr>
        <w:t xml:space="preserve">training within the organisation (for example, based upon the STAR training materials). </w:t>
      </w:r>
    </w:p>
    <w:p w14:paraId="6133858B" w14:textId="615E58B3" w:rsidR="007D00E8" w:rsidRPr="007D00E8" w:rsidRDefault="007D00E8" w:rsidP="007D00E8">
      <w:pPr>
        <w:pStyle w:val="NormalWeb"/>
        <w:spacing w:after="0"/>
        <w:rPr>
          <w:rFonts w:asciiTheme="minorHAnsi" w:hAnsiTheme="minorHAnsi" w:cstheme="minorBidi"/>
          <w:szCs w:val="24"/>
          <w:lang w:val="en-GB"/>
        </w:rPr>
      </w:pPr>
      <w:r w:rsidRPr="007D00E8">
        <w:rPr>
          <w:rFonts w:asciiTheme="minorHAnsi" w:hAnsiTheme="minorHAnsi" w:cstheme="minorBidi"/>
          <w:szCs w:val="24"/>
          <w:lang w:val="en-GB"/>
        </w:rPr>
        <w:t xml:space="preserve">The </w:t>
      </w:r>
      <w:r>
        <w:rPr>
          <w:rFonts w:asciiTheme="minorHAnsi" w:hAnsiTheme="minorHAnsi" w:cstheme="minorBidi"/>
          <w:szCs w:val="24"/>
          <w:lang w:val="en-GB"/>
        </w:rPr>
        <w:t>one-page summary</w:t>
      </w:r>
      <w:r w:rsidRPr="007D00E8">
        <w:rPr>
          <w:rFonts w:asciiTheme="minorHAnsi" w:hAnsiTheme="minorHAnsi" w:cstheme="minorBidi"/>
          <w:szCs w:val="24"/>
          <w:lang w:val="en-GB"/>
        </w:rPr>
        <w:t xml:space="preserve"> will be provided in .doc format to enable its editing and re-use within organisational environments and as a completely formatted PDF in STAR branding for immediate dissemination and use. </w:t>
      </w:r>
    </w:p>
    <w:p w14:paraId="407AF36C" w14:textId="70DAFD81" w:rsidR="00AF6694" w:rsidRPr="003C1910" w:rsidRDefault="007D00E8" w:rsidP="00AF6694">
      <w:pPr>
        <w:rPr>
          <w:lang w:val="en-GB"/>
        </w:rPr>
      </w:pPr>
      <w:r w:rsidRPr="007D00E8">
        <w:rPr>
          <w:lang w:val="en-GB"/>
        </w:rPr>
        <w:t xml:space="preserve">The </w:t>
      </w:r>
      <w:r>
        <w:rPr>
          <w:lang w:val="en-GB"/>
        </w:rPr>
        <w:t>one-page summary</w:t>
      </w:r>
      <w:r w:rsidRPr="007D00E8">
        <w:rPr>
          <w:lang w:val="en-GB"/>
        </w:rPr>
        <w:t xml:space="preserve"> will not be printed by STAR. </w:t>
      </w:r>
      <w:bookmarkEnd w:id="9"/>
    </w:p>
    <w:sectPr w:rsidR="00AF6694" w:rsidRPr="003C1910" w:rsidSect="00245A5D">
      <w:headerReference w:type="default" r:id="rId30"/>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A0A74" w14:textId="77777777" w:rsidR="002D6B8C" w:rsidRDefault="002D6B8C" w:rsidP="00B03FBA">
      <w:r>
        <w:separator/>
      </w:r>
    </w:p>
  </w:endnote>
  <w:endnote w:type="continuationSeparator" w:id="0">
    <w:p w14:paraId="3E786E49" w14:textId="77777777" w:rsidR="002D6B8C" w:rsidRDefault="002D6B8C" w:rsidP="00B03FBA">
      <w:r>
        <w:continuationSeparator/>
      </w:r>
    </w:p>
  </w:endnote>
  <w:endnote w:type="continuationNotice" w:id="1">
    <w:p w14:paraId="02B8D883" w14:textId="77777777" w:rsidR="002D6B8C" w:rsidRDefault="002D6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492" w14:textId="77777777" w:rsidR="002D6B8C" w:rsidRDefault="002D6B8C"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ABCFF" w14:textId="77777777" w:rsidR="002D6B8C" w:rsidRDefault="002D6B8C" w:rsidP="00B03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B096" w14:textId="037B2EEA" w:rsidR="002D6B8C" w:rsidRPr="000579F0" w:rsidRDefault="002D6B8C"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Pr>
        <w:rStyle w:val="PageNumber"/>
        <w:noProof/>
        <w:sz w:val="20"/>
      </w:rPr>
      <w:t>8</w:t>
    </w:r>
    <w:r w:rsidRPr="000579F0">
      <w:rPr>
        <w:rStyle w:val="PageNumber"/>
        <w:sz w:val="20"/>
      </w:rPr>
      <w:fldChar w:fldCharType="end"/>
    </w:r>
  </w:p>
  <w:p w14:paraId="245B0F95" w14:textId="77777777" w:rsidR="002D6B8C" w:rsidRDefault="002D6B8C" w:rsidP="00B03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502F" w14:textId="77777777" w:rsidR="002D6B8C" w:rsidRDefault="002D6B8C" w:rsidP="00B03FBA">
      <w:r>
        <w:separator/>
      </w:r>
    </w:p>
  </w:footnote>
  <w:footnote w:type="continuationSeparator" w:id="0">
    <w:p w14:paraId="62672E83" w14:textId="77777777" w:rsidR="002D6B8C" w:rsidRDefault="002D6B8C" w:rsidP="00B03FBA">
      <w:r>
        <w:continuationSeparator/>
      </w:r>
    </w:p>
  </w:footnote>
  <w:footnote w:type="continuationNotice" w:id="1">
    <w:p w14:paraId="0A9255B9" w14:textId="77777777" w:rsidR="002D6B8C" w:rsidRDefault="002D6B8C">
      <w:pPr>
        <w:spacing w:after="0"/>
      </w:pPr>
    </w:p>
  </w:footnote>
  <w:footnote w:id="2">
    <w:p w14:paraId="56FEA600" w14:textId="69C1283F" w:rsidR="002D6B8C" w:rsidRPr="00832D49" w:rsidRDefault="002D6B8C">
      <w:pPr>
        <w:pStyle w:val="FootnoteText"/>
        <w:rPr>
          <w:lang w:val="en-GB"/>
        </w:rPr>
      </w:pPr>
      <w:r>
        <w:rPr>
          <w:rStyle w:val="FootnoteReference"/>
        </w:rPr>
        <w:footnoteRef/>
      </w:r>
      <w:r>
        <w:t xml:space="preserve"> </w:t>
      </w:r>
      <w:r>
        <w:rPr>
          <w:lang w:val="en-GB"/>
        </w:rPr>
        <w:t>Knowles et al, 1984</w:t>
      </w:r>
    </w:p>
  </w:footnote>
  <w:footnote w:id="3">
    <w:p w14:paraId="7F05B47A" w14:textId="778533A2" w:rsidR="002D6B8C" w:rsidRPr="00A94504" w:rsidRDefault="002D6B8C">
      <w:pPr>
        <w:pStyle w:val="FootnoteText"/>
        <w:rPr>
          <w:lang w:val="en-GB"/>
        </w:rPr>
      </w:pPr>
      <w:r>
        <w:rPr>
          <w:rStyle w:val="FootnoteReference"/>
        </w:rPr>
        <w:footnoteRef/>
      </w:r>
      <w:r>
        <w:t xml:space="preserve"> Fry, H., Ketteridge, S. &amp; S. Marshall, </w:t>
      </w:r>
      <w:r>
        <w:rPr>
          <w:i/>
        </w:rPr>
        <w:t>A handbook for teaching and learning in higher education: Enhancing academic practice (3</w:t>
      </w:r>
      <w:r w:rsidRPr="00A94504">
        <w:rPr>
          <w:i/>
          <w:vertAlign w:val="superscript"/>
        </w:rPr>
        <w:t>rd</w:t>
      </w:r>
      <w:r>
        <w:rPr>
          <w:i/>
        </w:rPr>
        <w:t xml:space="preserve"> edition), </w:t>
      </w:r>
      <w:r>
        <w:t xml:space="preserve">Routledge, Abingdon and New York, 2009. </w:t>
      </w:r>
    </w:p>
  </w:footnote>
  <w:footnote w:id="4">
    <w:p w14:paraId="780C2574" w14:textId="1C5997ED" w:rsidR="002D6B8C" w:rsidRPr="00014EF5" w:rsidRDefault="002D6B8C">
      <w:pPr>
        <w:pStyle w:val="FootnoteText"/>
        <w:rPr>
          <w:lang w:val="en-GB"/>
        </w:rPr>
      </w:pPr>
      <w:r>
        <w:rPr>
          <w:rStyle w:val="FootnoteReference"/>
        </w:rPr>
        <w:footnoteRef/>
      </w:r>
      <w:r>
        <w:t xml:space="preserve"> </w:t>
      </w:r>
      <w:r w:rsidRPr="00014EF5">
        <w:t>http://www.phaedra-project.eu/leading-cases-documents/</w:t>
      </w:r>
    </w:p>
  </w:footnote>
  <w:footnote w:id="5">
    <w:p w14:paraId="179D23D4" w14:textId="2034D52D" w:rsidR="002D6B8C" w:rsidRPr="00014EF5" w:rsidRDefault="002D6B8C">
      <w:pPr>
        <w:pStyle w:val="FootnoteText"/>
        <w:rPr>
          <w:lang w:val="en-GB"/>
        </w:rPr>
      </w:pPr>
      <w:r>
        <w:rPr>
          <w:rStyle w:val="FootnoteReference"/>
        </w:rPr>
        <w:footnoteRef/>
      </w:r>
      <w:r>
        <w:t xml:space="preserve"> </w:t>
      </w:r>
      <w:r w:rsidRPr="00014EF5">
        <w:t>http://www.worldlii.org/int/special/privacy/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2564" w14:textId="43581EB8" w:rsidR="002D6B8C" w:rsidRPr="00C00AAF" w:rsidRDefault="002D6B8C" w:rsidP="00D120F0">
    <w:pPr>
      <w:pStyle w:val="Header"/>
      <w:jc w:val="right"/>
      <w:rPr>
        <w:i/>
      </w:rPr>
    </w:pPr>
    <w:r>
      <w:fldChar w:fldCharType="begin"/>
    </w:r>
    <w:r w:rsidRPr="00C00AAF">
      <w:instrText xml:space="preserve"> STYLEREF "Heading 2" \* MERGEFORMAT </w:instrText>
    </w:r>
    <w:r>
      <w:fldChar w:fldCharType="separate"/>
    </w:r>
    <w:r w:rsidR="00817E3E" w:rsidRPr="00817E3E">
      <w:rPr>
        <w:b/>
        <w:bCs/>
        <w:noProof/>
      </w:rPr>
      <w:t>Our assumptions about the training materials</w:t>
    </w:r>
    <w:r>
      <w:rPr>
        <w:b/>
        <w:bCs/>
        <w:noProof/>
        <w:lang w:val="it-I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C196" w14:textId="77777777" w:rsidR="002D6B8C" w:rsidRPr="00403998" w:rsidRDefault="002D6B8C" w:rsidP="00574E97">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0751" w14:textId="77777777" w:rsidR="002D6B8C" w:rsidRPr="00403998" w:rsidRDefault="002D6B8C" w:rsidP="00D120F0">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57F6" w14:textId="52DD1FA4" w:rsidR="002D6B8C" w:rsidRPr="0087469A" w:rsidRDefault="002D6B8C" w:rsidP="0087469A">
    <w:pPr>
      <w:pStyle w:val="Header"/>
      <w:jc w:val="right"/>
      <w:rPr>
        <w:lang w:val="it-IT"/>
      </w:rPr>
    </w:pPr>
    <w:r>
      <w:rPr>
        <w:lang w:val="it-IT"/>
      </w:rPr>
      <w:t>Deliverable D2.4 – Training materials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5040"/>
    <w:multiLevelType w:val="multilevel"/>
    <w:tmpl w:val="F47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729E"/>
    <w:multiLevelType w:val="multilevel"/>
    <w:tmpl w:val="AE9C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387"/>
    <w:multiLevelType w:val="multilevel"/>
    <w:tmpl w:val="22F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B69BD"/>
    <w:multiLevelType w:val="hybridMultilevel"/>
    <w:tmpl w:val="945C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C3EC2"/>
    <w:multiLevelType w:val="multilevel"/>
    <w:tmpl w:val="BDA6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D5E12"/>
    <w:multiLevelType w:val="hybridMultilevel"/>
    <w:tmpl w:val="3A262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EF691E"/>
    <w:multiLevelType w:val="hybridMultilevel"/>
    <w:tmpl w:val="D5269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5E5232"/>
    <w:multiLevelType w:val="hybridMultilevel"/>
    <w:tmpl w:val="FBB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A1C6C"/>
    <w:multiLevelType w:val="multilevel"/>
    <w:tmpl w:val="30E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86D5C"/>
    <w:multiLevelType w:val="hybridMultilevel"/>
    <w:tmpl w:val="75C45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E5E8B"/>
    <w:multiLevelType w:val="multilevel"/>
    <w:tmpl w:val="989A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75892"/>
    <w:multiLevelType w:val="multilevel"/>
    <w:tmpl w:val="598A7DBC"/>
    <w:lvl w:ilvl="0">
      <w:start w:val="1"/>
      <w:numFmt w:val="decimal"/>
      <w:pStyle w:val="Heading1"/>
      <w:lvlText w:val="%1"/>
      <w:lvlJc w:val="left"/>
      <w:pPr>
        <w:ind w:left="792" w:hanging="432"/>
      </w:pPr>
      <w:rPr>
        <w:rFonts w:hint="default"/>
        <w:color w:val="17365D" w:themeColor="text2" w:themeShade="BF"/>
        <w:sz w:val="32"/>
        <w:szCs w:val="32"/>
      </w:rPr>
    </w:lvl>
    <w:lvl w:ilvl="1">
      <w:start w:val="1"/>
      <w:numFmt w:val="decimal"/>
      <w:pStyle w:val="Heading2"/>
      <w:lvlText w:val="%1.%2"/>
      <w:lvlJc w:val="left"/>
      <w:pPr>
        <w:ind w:left="1002" w:hanging="576"/>
      </w:pPr>
      <w:rPr>
        <w:rFonts w:hint="default"/>
        <w:color w:val="365F91" w:themeColor="accent1" w:themeShade="BF"/>
        <w:sz w:val="26"/>
        <w:szCs w:val="26"/>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b/>
        <w:i w:val="0"/>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4" w15:restartNumberingAfterBreak="0">
    <w:nsid w:val="207154B7"/>
    <w:multiLevelType w:val="multilevel"/>
    <w:tmpl w:val="6EE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3581E"/>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D7A50"/>
    <w:multiLevelType w:val="multilevel"/>
    <w:tmpl w:val="34C6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45C53"/>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75B46"/>
    <w:multiLevelType w:val="hybridMultilevel"/>
    <w:tmpl w:val="BA3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15F50"/>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F7C3D"/>
    <w:multiLevelType w:val="hybridMultilevel"/>
    <w:tmpl w:val="0116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CA4786"/>
    <w:multiLevelType w:val="multilevel"/>
    <w:tmpl w:val="2D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06FED"/>
    <w:multiLevelType w:val="hybridMultilevel"/>
    <w:tmpl w:val="5600A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077CFB"/>
    <w:multiLevelType w:val="multilevel"/>
    <w:tmpl w:val="D4BE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81D46"/>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970C07"/>
    <w:multiLevelType w:val="multilevel"/>
    <w:tmpl w:val="2E8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800D4"/>
    <w:multiLevelType w:val="multilevel"/>
    <w:tmpl w:val="D62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46250"/>
    <w:multiLevelType w:val="multilevel"/>
    <w:tmpl w:val="CE56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777E5"/>
    <w:multiLevelType w:val="multilevel"/>
    <w:tmpl w:val="C38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32133"/>
    <w:multiLevelType w:val="hybridMultilevel"/>
    <w:tmpl w:val="908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90759"/>
    <w:multiLevelType w:val="hybridMultilevel"/>
    <w:tmpl w:val="2716B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8"/>
  </w:num>
  <w:num w:numId="4">
    <w:abstractNumId w:val="32"/>
  </w:num>
  <w:num w:numId="5">
    <w:abstractNumId w:val="21"/>
  </w:num>
  <w:num w:numId="6">
    <w:abstractNumId w:val="15"/>
  </w:num>
  <w:num w:numId="7">
    <w:abstractNumId w:val="2"/>
  </w:num>
  <w:num w:numId="8">
    <w:abstractNumId w:val="34"/>
  </w:num>
  <w:num w:numId="9">
    <w:abstractNumId w:val="44"/>
  </w:num>
  <w:num w:numId="10">
    <w:abstractNumId w:val="41"/>
  </w:num>
  <w:num w:numId="11">
    <w:abstractNumId w:val="13"/>
  </w:num>
  <w:num w:numId="12">
    <w:abstractNumId w:val="29"/>
  </w:num>
  <w:num w:numId="13">
    <w:abstractNumId w:val="13"/>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3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7"/>
  </w:num>
  <w:num w:numId="22">
    <w:abstractNumId w:val="6"/>
  </w:num>
  <w:num w:numId="23">
    <w:abstractNumId w:val="20"/>
  </w:num>
  <w:num w:numId="24">
    <w:abstractNumId w:val="42"/>
  </w:num>
  <w:num w:numId="25">
    <w:abstractNumId w:val="40"/>
  </w:num>
  <w:num w:numId="26">
    <w:abstractNumId w:val="33"/>
  </w:num>
  <w:num w:numId="27">
    <w:abstractNumId w:val="12"/>
  </w:num>
  <w:num w:numId="28">
    <w:abstractNumId w:val="24"/>
  </w:num>
  <w:num w:numId="29">
    <w:abstractNumId w:val="39"/>
  </w:num>
  <w:num w:numId="30">
    <w:abstractNumId w:val="0"/>
  </w:num>
  <w:num w:numId="31">
    <w:abstractNumId w:val="30"/>
  </w:num>
  <w:num w:numId="32">
    <w:abstractNumId w:val="5"/>
  </w:num>
  <w:num w:numId="33">
    <w:abstractNumId w:val="38"/>
  </w:num>
  <w:num w:numId="34">
    <w:abstractNumId w:val="1"/>
  </w:num>
  <w:num w:numId="35">
    <w:abstractNumId w:val="10"/>
  </w:num>
  <w:num w:numId="36">
    <w:abstractNumId w:val="17"/>
  </w:num>
  <w:num w:numId="37">
    <w:abstractNumId w:val="3"/>
  </w:num>
  <w:num w:numId="38">
    <w:abstractNumId w:val="14"/>
  </w:num>
  <w:num w:numId="39">
    <w:abstractNumId w:val="18"/>
  </w:num>
  <w:num w:numId="40">
    <w:abstractNumId w:val="22"/>
  </w:num>
  <w:num w:numId="41">
    <w:abstractNumId w:val="16"/>
  </w:num>
  <w:num w:numId="42">
    <w:abstractNumId w:val="45"/>
  </w:num>
  <w:num w:numId="43">
    <w:abstractNumId w:val="7"/>
  </w:num>
  <w:num w:numId="44">
    <w:abstractNumId w:val="25"/>
  </w:num>
  <w:num w:numId="45">
    <w:abstractNumId w:val="11"/>
  </w:num>
  <w:num w:numId="46">
    <w:abstractNumId w:val="4"/>
  </w:num>
  <w:num w:numId="47">
    <w:abstractNumId w:val="19"/>
  </w:num>
  <w:num w:numId="48">
    <w:abstractNumId w:val="43"/>
  </w:num>
  <w:num w:numId="49">
    <w:abstractNumId w:val="23"/>
  </w:num>
  <w:num w:numId="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E37"/>
    <w:rsid w:val="00002137"/>
    <w:rsid w:val="00002E2B"/>
    <w:rsid w:val="00003996"/>
    <w:rsid w:val="00003D44"/>
    <w:rsid w:val="000041F1"/>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4EF5"/>
    <w:rsid w:val="000152BF"/>
    <w:rsid w:val="00015420"/>
    <w:rsid w:val="0001608F"/>
    <w:rsid w:val="00016A03"/>
    <w:rsid w:val="00016ED0"/>
    <w:rsid w:val="00016EE2"/>
    <w:rsid w:val="000201E3"/>
    <w:rsid w:val="0002370C"/>
    <w:rsid w:val="00024800"/>
    <w:rsid w:val="00024E7C"/>
    <w:rsid w:val="00024FB2"/>
    <w:rsid w:val="00025ACB"/>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5DD"/>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76F"/>
    <w:rsid w:val="00067ACE"/>
    <w:rsid w:val="00070223"/>
    <w:rsid w:val="00070D4A"/>
    <w:rsid w:val="000711CA"/>
    <w:rsid w:val="00071629"/>
    <w:rsid w:val="00072360"/>
    <w:rsid w:val="0007247D"/>
    <w:rsid w:val="00072BFD"/>
    <w:rsid w:val="00072E78"/>
    <w:rsid w:val="000737C0"/>
    <w:rsid w:val="0007384E"/>
    <w:rsid w:val="00073A7A"/>
    <w:rsid w:val="00073F64"/>
    <w:rsid w:val="00073F8F"/>
    <w:rsid w:val="00074D28"/>
    <w:rsid w:val="00074DD3"/>
    <w:rsid w:val="00076BFB"/>
    <w:rsid w:val="00076DA6"/>
    <w:rsid w:val="0007748D"/>
    <w:rsid w:val="00077AD8"/>
    <w:rsid w:val="00077AE5"/>
    <w:rsid w:val="00080C10"/>
    <w:rsid w:val="00082148"/>
    <w:rsid w:val="000826C5"/>
    <w:rsid w:val="0008386C"/>
    <w:rsid w:val="00083B8C"/>
    <w:rsid w:val="000844BD"/>
    <w:rsid w:val="00084ADA"/>
    <w:rsid w:val="00084F7B"/>
    <w:rsid w:val="00085386"/>
    <w:rsid w:val="0008591A"/>
    <w:rsid w:val="000866C6"/>
    <w:rsid w:val="000918D3"/>
    <w:rsid w:val="00092806"/>
    <w:rsid w:val="0009336A"/>
    <w:rsid w:val="000945D0"/>
    <w:rsid w:val="00095489"/>
    <w:rsid w:val="0009555A"/>
    <w:rsid w:val="000962ED"/>
    <w:rsid w:val="00096390"/>
    <w:rsid w:val="00096CE8"/>
    <w:rsid w:val="00096DE7"/>
    <w:rsid w:val="000971AD"/>
    <w:rsid w:val="000973DD"/>
    <w:rsid w:val="000974FB"/>
    <w:rsid w:val="0009767E"/>
    <w:rsid w:val="000A0264"/>
    <w:rsid w:val="000A0503"/>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2EC2"/>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35FD"/>
    <w:rsid w:val="000E401B"/>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2060"/>
    <w:rsid w:val="00112C7A"/>
    <w:rsid w:val="001139CA"/>
    <w:rsid w:val="00114583"/>
    <w:rsid w:val="00114CE9"/>
    <w:rsid w:val="00114FD1"/>
    <w:rsid w:val="0011533E"/>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6D9"/>
    <w:rsid w:val="0012683B"/>
    <w:rsid w:val="00126BB2"/>
    <w:rsid w:val="001273CA"/>
    <w:rsid w:val="00127523"/>
    <w:rsid w:val="0012766A"/>
    <w:rsid w:val="00127D57"/>
    <w:rsid w:val="001300A1"/>
    <w:rsid w:val="0013159D"/>
    <w:rsid w:val="00131A5A"/>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4BE1"/>
    <w:rsid w:val="00165265"/>
    <w:rsid w:val="00165DE2"/>
    <w:rsid w:val="0016657C"/>
    <w:rsid w:val="00167118"/>
    <w:rsid w:val="001678CA"/>
    <w:rsid w:val="00167EAF"/>
    <w:rsid w:val="00167EC3"/>
    <w:rsid w:val="0017059D"/>
    <w:rsid w:val="00170BD4"/>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956"/>
    <w:rsid w:val="001A4AD6"/>
    <w:rsid w:val="001A4B12"/>
    <w:rsid w:val="001A59B5"/>
    <w:rsid w:val="001A5B56"/>
    <w:rsid w:val="001A5E35"/>
    <w:rsid w:val="001A5F88"/>
    <w:rsid w:val="001A763C"/>
    <w:rsid w:val="001A7A09"/>
    <w:rsid w:val="001A7A23"/>
    <w:rsid w:val="001A7C4D"/>
    <w:rsid w:val="001A7DE5"/>
    <w:rsid w:val="001B161E"/>
    <w:rsid w:val="001B1718"/>
    <w:rsid w:val="001B17AA"/>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0FF5"/>
    <w:rsid w:val="001C1855"/>
    <w:rsid w:val="001C1B8E"/>
    <w:rsid w:val="001C1C96"/>
    <w:rsid w:val="001C2116"/>
    <w:rsid w:val="001C2415"/>
    <w:rsid w:val="001C2471"/>
    <w:rsid w:val="001C2D0B"/>
    <w:rsid w:val="001C2F0B"/>
    <w:rsid w:val="001C3D54"/>
    <w:rsid w:val="001C4197"/>
    <w:rsid w:val="001C419C"/>
    <w:rsid w:val="001C5014"/>
    <w:rsid w:val="001C5CA9"/>
    <w:rsid w:val="001C6778"/>
    <w:rsid w:val="001C67B6"/>
    <w:rsid w:val="001C6875"/>
    <w:rsid w:val="001C69EB"/>
    <w:rsid w:val="001C6BBD"/>
    <w:rsid w:val="001C7286"/>
    <w:rsid w:val="001C7AE8"/>
    <w:rsid w:val="001D00A2"/>
    <w:rsid w:val="001D0187"/>
    <w:rsid w:val="001D0404"/>
    <w:rsid w:val="001D13C3"/>
    <w:rsid w:val="001D20D6"/>
    <w:rsid w:val="001D21D6"/>
    <w:rsid w:val="001D225B"/>
    <w:rsid w:val="001D269C"/>
    <w:rsid w:val="001D2C4A"/>
    <w:rsid w:val="001D309C"/>
    <w:rsid w:val="001D334B"/>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E5D"/>
    <w:rsid w:val="001F34BA"/>
    <w:rsid w:val="001F3797"/>
    <w:rsid w:val="001F37DD"/>
    <w:rsid w:val="001F3958"/>
    <w:rsid w:val="001F3AA0"/>
    <w:rsid w:val="001F4A18"/>
    <w:rsid w:val="001F4F9F"/>
    <w:rsid w:val="001F5E3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BC8"/>
    <w:rsid w:val="00242D75"/>
    <w:rsid w:val="00243001"/>
    <w:rsid w:val="00243223"/>
    <w:rsid w:val="002432F8"/>
    <w:rsid w:val="00243746"/>
    <w:rsid w:val="00243ABB"/>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1D37"/>
    <w:rsid w:val="002524FF"/>
    <w:rsid w:val="00252579"/>
    <w:rsid w:val="002525AF"/>
    <w:rsid w:val="002527D0"/>
    <w:rsid w:val="00252BFA"/>
    <w:rsid w:val="00252DA9"/>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948"/>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97CCD"/>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4D5D"/>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4E48"/>
    <w:rsid w:val="002D5337"/>
    <w:rsid w:val="002D5663"/>
    <w:rsid w:val="002D5A5A"/>
    <w:rsid w:val="002D5A8A"/>
    <w:rsid w:val="002D6B8C"/>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CFA"/>
    <w:rsid w:val="002F5D75"/>
    <w:rsid w:val="002F6CD4"/>
    <w:rsid w:val="002F7D18"/>
    <w:rsid w:val="002F7F09"/>
    <w:rsid w:val="003000CD"/>
    <w:rsid w:val="00300393"/>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188"/>
    <w:rsid w:val="00317812"/>
    <w:rsid w:val="00317864"/>
    <w:rsid w:val="00317B34"/>
    <w:rsid w:val="00320A78"/>
    <w:rsid w:val="00320CAB"/>
    <w:rsid w:val="003215D5"/>
    <w:rsid w:val="0032178F"/>
    <w:rsid w:val="00321E18"/>
    <w:rsid w:val="00322227"/>
    <w:rsid w:val="00322942"/>
    <w:rsid w:val="003230F2"/>
    <w:rsid w:val="0032315E"/>
    <w:rsid w:val="0032354F"/>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29"/>
    <w:rsid w:val="0036424C"/>
    <w:rsid w:val="003645D8"/>
    <w:rsid w:val="003647DB"/>
    <w:rsid w:val="00366F39"/>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03B"/>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3871"/>
    <w:rsid w:val="003A4FC6"/>
    <w:rsid w:val="003A5B1D"/>
    <w:rsid w:val="003A685B"/>
    <w:rsid w:val="003A6ACE"/>
    <w:rsid w:val="003A6E82"/>
    <w:rsid w:val="003A723A"/>
    <w:rsid w:val="003A7885"/>
    <w:rsid w:val="003B02E0"/>
    <w:rsid w:val="003B0546"/>
    <w:rsid w:val="003B0617"/>
    <w:rsid w:val="003B1685"/>
    <w:rsid w:val="003B2166"/>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910"/>
    <w:rsid w:val="003C1A88"/>
    <w:rsid w:val="003C1EB8"/>
    <w:rsid w:val="003C1F01"/>
    <w:rsid w:val="003C1FB3"/>
    <w:rsid w:val="003C319B"/>
    <w:rsid w:val="003C4894"/>
    <w:rsid w:val="003C5437"/>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683"/>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10A9"/>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455"/>
    <w:rsid w:val="0040156D"/>
    <w:rsid w:val="00401C5B"/>
    <w:rsid w:val="0040228D"/>
    <w:rsid w:val="00402394"/>
    <w:rsid w:val="0040375C"/>
    <w:rsid w:val="0040376E"/>
    <w:rsid w:val="0040391D"/>
    <w:rsid w:val="00403998"/>
    <w:rsid w:val="00403D5B"/>
    <w:rsid w:val="00404FA8"/>
    <w:rsid w:val="00405AD7"/>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3EF4"/>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3BA"/>
    <w:rsid w:val="00446BAC"/>
    <w:rsid w:val="00447812"/>
    <w:rsid w:val="00447A39"/>
    <w:rsid w:val="00447D28"/>
    <w:rsid w:val="004506BF"/>
    <w:rsid w:val="00452465"/>
    <w:rsid w:val="004528B7"/>
    <w:rsid w:val="0045293D"/>
    <w:rsid w:val="00452BE2"/>
    <w:rsid w:val="00452C18"/>
    <w:rsid w:val="00453EA8"/>
    <w:rsid w:val="00454889"/>
    <w:rsid w:val="00454AE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052F"/>
    <w:rsid w:val="0048128E"/>
    <w:rsid w:val="0048139C"/>
    <w:rsid w:val="004818D4"/>
    <w:rsid w:val="004829E1"/>
    <w:rsid w:val="00482ADC"/>
    <w:rsid w:val="00482B8E"/>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5F1D"/>
    <w:rsid w:val="004A60D4"/>
    <w:rsid w:val="004A6601"/>
    <w:rsid w:val="004A6658"/>
    <w:rsid w:val="004A732F"/>
    <w:rsid w:val="004B0D9F"/>
    <w:rsid w:val="004B1ABC"/>
    <w:rsid w:val="004B210A"/>
    <w:rsid w:val="004B254D"/>
    <w:rsid w:val="004B2583"/>
    <w:rsid w:val="004B25BD"/>
    <w:rsid w:val="004B2E1A"/>
    <w:rsid w:val="004B3631"/>
    <w:rsid w:val="004B36D6"/>
    <w:rsid w:val="004B380E"/>
    <w:rsid w:val="004B4DA1"/>
    <w:rsid w:val="004B4FA7"/>
    <w:rsid w:val="004B4FF8"/>
    <w:rsid w:val="004B524D"/>
    <w:rsid w:val="004B5CBC"/>
    <w:rsid w:val="004B616E"/>
    <w:rsid w:val="004B7093"/>
    <w:rsid w:val="004B7155"/>
    <w:rsid w:val="004C04B4"/>
    <w:rsid w:val="004C0B71"/>
    <w:rsid w:val="004C0C44"/>
    <w:rsid w:val="004C2903"/>
    <w:rsid w:val="004C2998"/>
    <w:rsid w:val="004C33DF"/>
    <w:rsid w:val="004C6311"/>
    <w:rsid w:val="004C6647"/>
    <w:rsid w:val="004C6F7F"/>
    <w:rsid w:val="004C72CC"/>
    <w:rsid w:val="004C76F6"/>
    <w:rsid w:val="004C7DAD"/>
    <w:rsid w:val="004D073B"/>
    <w:rsid w:val="004D0A24"/>
    <w:rsid w:val="004D0E47"/>
    <w:rsid w:val="004D108F"/>
    <w:rsid w:val="004D1433"/>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4EAE"/>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9EC"/>
    <w:rsid w:val="004F6CD2"/>
    <w:rsid w:val="005005D8"/>
    <w:rsid w:val="00500962"/>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657E"/>
    <w:rsid w:val="005177EA"/>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4807"/>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0E76"/>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3D6C"/>
    <w:rsid w:val="00594290"/>
    <w:rsid w:val="0059501E"/>
    <w:rsid w:val="005950A3"/>
    <w:rsid w:val="00595878"/>
    <w:rsid w:val="00595AE9"/>
    <w:rsid w:val="00595DF9"/>
    <w:rsid w:val="00595F81"/>
    <w:rsid w:val="005967BB"/>
    <w:rsid w:val="00596E42"/>
    <w:rsid w:val="005971D9"/>
    <w:rsid w:val="005971DB"/>
    <w:rsid w:val="005A175E"/>
    <w:rsid w:val="005A31D5"/>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A33"/>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5F6A"/>
    <w:rsid w:val="005C62E7"/>
    <w:rsid w:val="005C692F"/>
    <w:rsid w:val="005C7269"/>
    <w:rsid w:val="005C781B"/>
    <w:rsid w:val="005D044E"/>
    <w:rsid w:val="005D05DD"/>
    <w:rsid w:val="005D076F"/>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20D"/>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1E8B"/>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2DFC"/>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54F"/>
    <w:rsid w:val="00666730"/>
    <w:rsid w:val="00666B23"/>
    <w:rsid w:val="006676DE"/>
    <w:rsid w:val="006679B7"/>
    <w:rsid w:val="00667CD0"/>
    <w:rsid w:val="00670159"/>
    <w:rsid w:val="0067019C"/>
    <w:rsid w:val="006714FC"/>
    <w:rsid w:val="006725BE"/>
    <w:rsid w:val="0067392E"/>
    <w:rsid w:val="00673A04"/>
    <w:rsid w:val="006740FE"/>
    <w:rsid w:val="0067475C"/>
    <w:rsid w:val="006747B3"/>
    <w:rsid w:val="00674933"/>
    <w:rsid w:val="00674AB8"/>
    <w:rsid w:val="00674BCC"/>
    <w:rsid w:val="0067589D"/>
    <w:rsid w:val="0067591F"/>
    <w:rsid w:val="00675C02"/>
    <w:rsid w:val="00676A67"/>
    <w:rsid w:val="00680015"/>
    <w:rsid w:val="0068008A"/>
    <w:rsid w:val="0068048A"/>
    <w:rsid w:val="006804C6"/>
    <w:rsid w:val="0068075B"/>
    <w:rsid w:val="006816B3"/>
    <w:rsid w:val="00681EE4"/>
    <w:rsid w:val="00682EEB"/>
    <w:rsid w:val="00682F72"/>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252"/>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67CE"/>
    <w:rsid w:val="006A70A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D7DD3"/>
    <w:rsid w:val="006E1157"/>
    <w:rsid w:val="006E127C"/>
    <w:rsid w:val="006E1343"/>
    <w:rsid w:val="006E1727"/>
    <w:rsid w:val="006E17C5"/>
    <w:rsid w:val="006E1D70"/>
    <w:rsid w:val="006E2ED7"/>
    <w:rsid w:val="006E33C3"/>
    <w:rsid w:val="006E3F04"/>
    <w:rsid w:val="006E4192"/>
    <w:rsid w:val="006E419B"/>
    <w:rsid w:val="006E4419"/>
    <w:rsid w:val="006E449D"/>
    <w:rsid w:val="006E5DF5"/>
    <w:rsid w:val="006E619D"/>
    <w:rsid w:val="006E6E50"/>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AD8"/>
    <w:rsid w:val="00715B5B"/>
    <w:rsid w:val="007168F3"/>
    <w:rsid w:val="007170BF"/>
    <w:rsid w:val="007172C4"/>
    <w:rsid w:val="00717345"/>
    <w:rsid w:val="0071790C"/>
    <w:rsid w:val="007204AD"/>
    <w:rsid w:val="007212A6"/>
    <w:rsid w:val="007212FF"/>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3294"/>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79A"/>
    <w:rsid w:val="007749A8"/>
    <w:rsid w:val="007749E9"/>
    <w:rsid w:val="00775141"/>
    <w:rsid w:val="007755FA"/>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427"/>
    <w:rsid w:val="007A0A82"/>
    <w:rsid w:val="007A1425"/>
    <w:rsid w:val="007A1586"/>
    <w:rsid w:val="007A170C"/>
    <w:rsid w:val="007A18F4"/>
    <w:rsid w:val="007A2000"/>
    <w:rsid w:val="007A2B46"/>
    <w:rsid w:val="007A2BAC"/>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1A"/>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00E8"/>
    <w:rsid w:val="007D0BA7"/>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8D4"/>
    <w:rsid w:val="007E79B8"/>
    <w:rsid w:val="007E7EC6"/>
    <w:rsid w:val="007F05D9"/>
    <w:rsid w:val="007F0AA8"/>
    <w:rsid w:val="007F0D15"/>
    <w:rsid w:val="007F14FD"/>
    <w:rsid w:val="007F19F8"/>
    <w:rsid w:val="007F1A13"/>
    <w:rsid w:val="007F1AFE"/>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6B36"/>
    <w:rsid w:val="00817433"/>
    <w:rsid w:val="00817E3E"/>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2005"/>
    <w:rsid w:val="00832235"/>
    <w:rsid w:val="00832712"/>
    <w:rsid w:val="00832D49"/>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37C8"/>
    <w:rsid w:val="00864074"/>
    <w:rsid w:val="00864E0A"/>
    <w:rsid w:val="00865C5A"/>
    <w:rsid w:val="00866F00"/>
    <w:rsid w:val="00870504"/>
    <w:rsid w:val="00870EF4"/>
    <w:rsid w:val="00870FF5"/>
    <w:rsid w:val="00872986"/>
    <w:rsid w:val="00873909"/>
    <w:rsid w:val="00873BB0"/>
    <w:rsid w:val="0087469A"/>
    <w:rsid w:val="00875A01"/>
    <w:rsid w:val="008762F2"/>
    <w:rsid w:val="00876509"/>
    <w:rsid w:val="00876602"/>
    <w:rsid w:val="00876758"/>
    <w:rsid w:val="00876B6E"/>
    <w:rsid w:val="00876BD2"/>
    <w:rsid w:val="00877428"/>
    <w:rsid w:val="0087770D"/>
    <w:rsid w:val="00877E05"/>
    <w:rsid w:val="00877F0C"/>
    <w:rsid w:val="008801AE"/>
    <w:rsid w:val="0088125A"/>
    <w:rsid w:val="0088142E"/>
    <w:rsid w:val="00881547"/>
    <w:rsid w:val="008821DA"/>
    <w:rsid w:val="0088296D"/>
    <w:rsid w:val="008831B8"/>
    <w:rsid w:val="00883849"/>
    <w:rsid w:val="00884E08"/>
    <w:rsid w:val="0088534B"/>
    <w:rsid w:val="0088567F"/>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978"/>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2D2"/>
    <w:rsid w:val="008E28FC"/>
    <w:rsid w:val="008E2B94"/>
    <w:rsid w:val="008E2C43"/>
    <w:rsid w:val="008E3708"/>
    <w:rsid w:val="008E37C7"/>
    <w:rsid w:val="008E3B16"/>
    <w:rsid w:val="008E3CC1"/>
    <w:rsid w:val="008E3E14"/>
    <w:rsid w:val="008E40BE"/>
    <w:rsid w:val="008E4F1A"/>
    <w:rsid w:val="008E4F6C"/>
    <w:rsid w:val="008E59AA"/>
    <w:rsid w:val="008E7405"/>
    <w:rsid w:val="008F1C0A"/>
    <w:rsid w:val="008F1FF2"/>
    <w:rsid w:val="008F205B"/>
    <w:rsid w:val="008F289E"/>
    <w:rsid w:val="008F3406"/>
    <w:rsid w:val="008F3BBD"/>
    <w:rsid w:val="008F3DAF"/>
    <w:rsid w:val="008F4505"/>
    <w:rsid w:val="008F4A74"/>
    <w:rsid w:val="008F55C1"/>
    <w:rsid w:val="008F5DD6"/>
    <w:rsid w:val="008F5E87"/>
    <w:rsid w:val="008F6090"/>
    <w:rsid w:val="008F629B"/>
    <w:rsid w:val="008F63DE"/>
    <w:rsid w:val="008F6812"/>
    <w:rsid w:val="008F69F3"/>
    <w:rsid w:val="008F75EE"/>
    <w:rsid w:val="008F7684"/>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1"/>
    <w:rsid w:val="00905E5B"/>
    <w:rsid w:val="00906304"/>
    <w:rsid w:val="00906346"/>
    <w:rsid w:val="0090742D"/>
    <w:rsid w:val="00910FB6"/>
    <w:rsid w:val="009116F1"/>
    <w:rsid w:val="00911E80"/>
    <w:rsid w:val="00913607"/>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F0"/>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60C"/>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5FB6"/>
    <w:rsid w:val="00976507"/>
    <w:rsid w:val="00976728"/>
    <w:rsid w:val="00976744"/>
    <w:rsid w:val="00976EBE"/>
    <w:rsid w:val="009775E6"/>
    <w:rsid w:val="00977738"/>
    <w:rsid w:val="00977DA2"/>
    <w:rsid w:val="00980BB0"/>
    <w:rsid w:val="00980DE4"/>
    <w:rsid w:val="00981623"/>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2F6D"/>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2E28"/>
    <w:rsid w:val="009C3BE3"/>
    <w:rsid w:val="009C3CBD"/>
    <w:rsid w:val="009C3E07"/>
    <w:rsid w:val="009C3F41"/>
    <w:rsid w:val="009C5063"/>
    <w:rsid w:val="009C535A"/>
    <w:rsid w:val="009C58FE"/>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6F27"/>
    <w:rsid w:val="009D7140"/>
    <w:rsid w:val="009D739C"/>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151"/>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94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1D"/>
    <w:rsid w:val="00A349B2"/>
    <w:rsid w:val="00A36192"/>
    <w:rsid w:val="00A3655C"/>
    <w:rsid w:val="00A404C4"/>
    <w:rsid w:val="00A4076A"/>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D2D"/>
    <w:rsid w:val="00A65F49"/>
    <w:rsid w:val="00A66793"/>
    <w:rsid w:val="00A705CD"/>
    <w:rsid w:val="00A70C4D"/>
    <w:rsid w:val="00A71195"/>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50F8"/>
    <w:rsid w:val="00A86888"/>
    <w:rsid w:val="00A86DDE"/>
    <w:rsid w:val="00A877C5"/>
    <w:rsid w:val="00A8797D"/>
    <w:rsid w:val="00A87C8C"/>
    <w:rsid w:val="00A9051C"/>
    <w:rsid w:val="00A909ED"/>
    <w:rsid w:val="00A90C46"/>
    <w:rsid w:val="00A919F1"/>
    <w:rsid w:val="00A9269D"/>
    <w:rsid w:val="00A92E4E"/>
    <w:rsid w:val="00A944BF"/>
    <w:rsid w:val="00A94504"/>
    <w:rsid w:val="00A9497C"/>
    <w:rsid w:val="00A94C5C"/>
    <w:rsid w:val="00A9511D"/>
    <w:rsid w:val="00A951B4"/>
    <w:rsid w:val="00A95BBF"/>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180F"/>
    <w:rsid w:val="00AB2504"/>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370"/>
    <w:rsid w:val="00AD24EE"/>
    <w:rsid w:val="00AD2584"/>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2CB2"/>
    <w:rsid w:val="00AE37E6"/>
    <w:rsid w:val="00AE3EBC"/>
    <w:rsid w:val="00AE4675"/>
    <w:rsid w:val="00AE5A32"/>
    <w:rsid w:val="00AE61A3"/>
    <w:rsid w:val="00AE620A"/>
    <w:rsid w:val="00AE66EF"/>
    <w:rsid w:val="00AE66F8"/>
    <w:rsid w:val="00AE693E"/>
    <w:rsid w:val="00AE694A"/>
    <w:rsid w:val="00AE6A79"/>
    <w:rsid w:val="00AE711E"/>
    <w:rsid w:val="00AE71D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ABE"/>
    <w:rsid w:val="00AF5F0D"/>
    <w:rsid w:val="00AF642E"/>
    <w:rsid w:val="00AF6694"/>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55F"/>
    <w:rsid w:val="00B2269C"/>
    <w:rsid w:val="00B2301E"/>
    <w:rsid w:val="00B23703"/>
    <w:rsid w:val="00B23767"/>
    <w:rsid w:val="00B23F0E"/>
    <w:rsid w:val="00B24180"/>
    <w:rsid w:val="00B244B4"/>
    <w:rsid w:val="00B246CA"/>
    <w:rsid w:val="00B247DB"/>
    <w:rsid w:val="00B24CBE"/>
    <w:rsid w:val="00B251D7"/>
    <w:rsid w:val="00B25296"/>
    <w:rsid w:val="00B255F0"/>
    <w:rsid w:val="00B258DC"/>
    <w:rsid w:val="00B259C9"/>
    <w:rsid w:val="00B25AD5"/>
    <w:rsid w:val="00B25BF3"/>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801"/>
    <w:rsid w:val="00B43CD2"/>
    <w:rsid w:val="00B45815"/>
    <w:rsid w:val="00B45FB0"/>
    <w:rsid w:val="00B460DB"/>
    <w:rsid w:val="00B46224"/>
    <w:rsid w:val="00B465E7"/>
    <w:rsid w:val="00B477DB"/>
    <w:rsid w:val="00B50060"/>
    <w:rsid w:val="00B5189F"/>
    <w:rsid w:val="00B51BA7"/>
    <w:rsid w:val="00B52090"/>
    <w:rsid w:val="00B52ACF"/>
    <w:rsid w:val="00B53FD4"/>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3E9D"/>
    <w:rsid w:val="00B64440"/>
    <w:rsid w:val="00B6581C"/>
    <w:rsid w:val="00B65C4D"/>
    <w:rsid w:val="00B661FC"/>
    <w:rsid w:val="00B663D4"/>
    <w:rsid w:val="00B66821"/>
    <w:rsid w:val="00B6714B"/>
    <w:rsid w:val="00B67CFD"/>
    <w:rsid w:val="00B70322"/>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A5E"/>
    <w:rsid w:val="00B81E25"/>
    <w:rsid w:val="00B82407"/>
    <w:rsid w:val="00B8263A"/>
    <w:rsid w:val="00B826D1"/>
    <w:rsid w:val="00B827BC"/>
    <w:rsid w:val="00B829F7"/>
    <w:rsid w:val="00B8343C"/>
    <w:rsid w:val="00B83602"/>
    <w:rsid w:val="00B84867"/>
    <w:rsid w:val="00B84925"/>
    <w:rsid w:val="00B84F2A"/>
    <w:rsid w:val="00B852A5"/>
    <w:rsid w:val="00B869EE"/>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0FC"/>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40"/>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81F"/>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AAF"/>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5E20"/>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5E68"/>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32AC"/>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802"/>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61AE"/>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BFC"/>
    <w:rsid w:val="00CE0CBB"/>
    <w:rsid w:val="00CE0E42"/>
    <w:rsid w:val="00CE0F05"/>
    <w:rsid w:val="00CE0F23"/>
    <w:rsid w:val="00CE12FA"/>
    <w:rsid w:val="00CE13CC"/>
    <w:rsid w:val="00CE1566"/>
    <w:rsid w:val="00CE1577"/>
    <w:rsid w:val="00CE1DA5"/>
    <w:rsid w:val="00CE2013"/>
    <w:rsid w:val="00CE25E5"/>
    <w:rsid w:val="00CE27D7"/>
    <w:rsid w:val="00CE2BF8"/>
    <w:rsid w:val="00CE3505"/>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3D0"/>
    <w:rsid w:val="00D03C51"/>
    <w:rsid w:val="00D04214"/>
    <w:rsid w:val="00D054A6"/>
    <w:rsid w:val="00D056A7"/>
    <w:rsid w:val="00D05770"/>
    <w:rsid w:val="00D05F67"/>
    <w:rsid w:val="00D0626B"/>
    <w:rsid w:val="00D068B7"/>
    <w:rsid w:val="00D06EA7"/>
    <w:rsid w:val="00D07182"/>
    <w:rsid w:val="00D11A1C"/>
    <w:rsid w:val="00D120F0"/>
    <w:rsid w:val="00D1214D"/>
    <w:rsid w:val="00D12405"/>
    <w:rsid w:val="00D125C1"/>
    <w:rsid w:val="00D1293F"/>
    <w:rsid w:val="00D12C2A"/>
    <w:rsid w:val="00D12D73"/>
    <w:rsid w:val="00D12E86"/>
    <w:rsid w:val="00D12F54"/>
    <w:rsid w:val="00D1324C"/>
    <w:rsid w:val="00D13ADC"/>
    <w:rsid w:val="00D14BD4"/>
    <w:rsid w:val="00D14D21"/>
    <w:rsid w:val="00D14E73"/>
    <w:rsid w:val="00D15259"/>
    <w:rsid w:val="00D15A3B"/>
    <w:rsid w:val="00D16886"/>
    <w:rsid w:val="00D16C6B"/>
    <w:rsid w:val="00D16E63"/>
    <w:rsid w:val="00D1718D"/>
    <w:rsid w:val="00D173BF"/>
    <w:rsid w:val="00D1779D"/>
    <w:rsid w:val="00D20851"/>
    <w:rsid w:val="00D21A50"/>
    <w:rsid w:val="00D22C0B"/>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5CAB"/>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852"/>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D6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1FAF"/>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AEA"/>
    <w:rsid w:val="00DC5E51"/>
    <w:rsid w:val="00DC6253"/>
    <w:rsid w:val="00DC63FD"/>
    <w:rsid w:val="00DC65FF"/>
    <w:rsid w:val="00DC70CD"/>
    <w:rsid w:val="00DC73C7"/>
    <w:rsid w:val="00DD063E"/>
    <w:rsid w:val="00DD0A11"/>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04F4"/>
    <w:rsid w:val="00DE0D40"/>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721"/>
    <w:rsid w:val="00E13B5B"/>
    <w:rsid w:val="00E1498E"/>
    <w:rsid w:val="00E1645D"/>
    <w:rsid w:val="00E1741F"/>
    <w:rsid w:val="00E179E4"/>
    <w:rsid w:val="00E17F62"/>
    <w:rsid w:val="00E2046C"/>
    <w:rsid w:val="00E21795"/>
    <w:rsid w:val="00E2218D"/>
    <w:rsid w:val="00E22197"/>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72F"/>
    <w:rsid w:val="00E6290B"/>
    <w:rsid w:val="00E63DF3"/>
    <w:rsid w:val="00E64105"/>
    <w:rsid w:val="00E64A86"/>
    <w:rsid w:val="00E64E16"/>
    <w:rsid w:val="00E64E3C"/>
    <w:rsid w:val="00E665D1"/>
    <w:rsid w:val="00E66F19"/>
    <w:rsid w:val="00E679DC"/>
    <w:rsid w:val="00E67B03"/>
    <w:rsid w:val="00E67B1C"/>
    <w:rsid w:val="00E70071"/>
    <w:rsid w:val="00E701E0"/>
    <w:rsid w:val="00E718F2"/>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06F"/>
    <w:rsid w:val="00EC2F9A"/>
    <w:rsid w:val="00EC4ED0"/>
    <w:rsid w:val="00EC4FB9"/>
    <w:rsid w:val="00EC5823"/>
    <w:rsid w:val="00EC5B76"/>
    <w:rsid w:val="00EC6A10"/>
    <w:rsid w:val="00EC73DC"/>
    <w:rsid w:val="00EC7A16"/>
    <w:rsid w:val="00ED012E"/>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855"/>
    <w:rsid w:val="00EF3A2E"/>
    <w:rsid w:val="00EF5482"/>
    <w:rsid w:val="00EF586F"/>
    <w:rsid w:val="00EF6473"/>
    <w:rsid w:val="00EF6E41"/>
    <w:rsid w:val="00EF735B"/>
    <w:rsid w:val="00EF7590"/>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38E2"/>
    <w:rsid w:val="00F24D7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8CC"/>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29A"/>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593"/>
    <w:rsid w:val="00F70838"/>
    <w:rsid w:val="00F71605"/>
    <w:rsid w:val="00F7288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973E3"/>
    <w:rsid w:val="00FA0728"/>
    <w:rsid w:val="00FA0751"/>
    <w:rsid w:val="00FA085A"/>
    <w:rsid w:val="00FA1BD8"/>
    <w:rsid w:val="00FA1FA2"/>
    <w:rsid w:val="00FA2330"/>
    <w:rsid w:val="00FA25AC"/>
    <w:rsid w:val="00FA2B25"/>
    <w:rsid w:val="00FA3BAE"/>
    <w:rsid w:val="00FA40CC"/>
    <w:rsid w:val="00FA4B7D"/>
    <w:rsid w:val="00FA5BD9"/>
    <w:rsid w:val="00FA6063"/>
    <w:rsid w:val="00FA778B"/>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4FEB"/>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79F0"/>
    <w:pPr>
      <w:spacing w:after="120"/>
      <w:jc w:val="both"/>
    </w:pPr>
    <w:rPr>
      <w:sz w:val="22"/>
    </w:rPr>
  </w:style>
  <w:style w:type="paragraph" w:styleId="Heading1">
    <w:name w:val="heading 1"/>
    <w:basedOn w:val="Normal"/>
    <w:next w:val="Normal"/>
    <w:link w:val="Heading1Char"/>
    <w:autoRedefine/>
    <w:uiPriority w:val="9"/>
    <w:qFormat/>
    <w:rsid w:val="001B161E"/>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lang w:val="en-GB"/>
    </w:rPr>
  </w:style>
  <w:style w:type="paragraph" w:styleId="Heading2">
    <w:name w:val="heading 2"/>
    <w:basedOn w:val="Normal"/>
    <w:next w:val="Normal"/>
    <w:link w:val="Heading2Char"/>
    <w:uiPriority w:val="9"/>
    <w:unhideWhenUsed/>
    <w:qFormat/>
    <w:rsid w:val="001B161E"/>
    <w:pPr>
      <w:keepNext/>
      <w:keepLines/>
      <w:numPr>
        <w:ilvl w:val="1"/>
        <w:numId w:val="1"/>
      </w:numPr>
      <w:spacing w:before="200"/>
      <w:ind w:left="936"/>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1E"/>
    <w:rPr>
      <w:rFonts w:asciiTheme="majorHAnsi" w:eastAsiaTheme="majorEastAsia" w:hAnsiTheme="maj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03FBA"/>
    <w:pPr>
      <w:tabs>
        <w:tab w:val="center" w:pos="4320"/>
        <w:tab w:val="right" w:pos="8640"/>
      </w:tabs>
    </w:pPr>
  </w:style>
  <w:style w:type="character" w:customStyle="1" w:styleId="FooterChar">
    <w:name w:val="Footer Char"/>
    <w:basedOn w:val="DefaultParagraphFont"/>
    <w:link w:val="Footer"/>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Cs w:val="22"/>
    </w:rPr>
  </w:style>
  <w:style w:type="paragraph" w:styleId="TOC2">
    <w:name w:val="toc 2"/>
    <w:basedOn w:val="Normal"/>
    <w:next w:val="Normal"/>
    <w:autoRedefine/>
    <w:uiPriority w:val="39"/>
    <w:unhideWhenUsed/>
    <w:rsid w:val="00531122"/>
    <w:pPr>
      <w:spacing w:after="0"/>
      <w:ind w:left="200"/>
      <w:jc w:val="left"/>
    </w:pPr>
    <w:rPr>
      <w:smallCaps/>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semiHidden/>
    <w:unhideWhenUsed/>
    <w:rsid w:val="00DC351A"/>
    <w:rPr>
      <w:sz w:val="24"/>
    </w:rPr>
  </w:style>
  <w:style w:type="character" w:customStyle="1" w:styleId="CommentTextChar">
    <w:name w:val="Comment Text Char"/>
    <w:basedOn w:val="DefaultParagraphFont"/>
    <w:link w:val="CommentText"/>
    <w:uiPriority w:val="99"/>
    <w:semiHidden/>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character" w:styleId="UnresolvedMention">
    <w:name w:val="Unresolved Mention"/>
    <w:basedOn w:val="DefaultParagraphFont"/>
    <w:uiPriority w:val="99"/>
    <w:rsid w:val="00014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77758626">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reativecommons.org/licenses/by/4.0/legalco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hyperlink" Target="https://support.office.com/en-us/article/make-your-powerpoint-presentations-accessible-6f7772b2-2f33-4bd2-8ca7-dae3b2b3ef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2.xml"/><Relationship Id="rId28" Type="http://schemas.openxmlformats.org/officeDocument/2006/relationships/hyperlink" Target="https://ec.europa.eu/easme/en/communication-toolkit"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http://www.project-star.eu" TargetMode="Externa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22E4-E0CF-5444-9577-A6B812B4A737}">
  <ds:schemaRefs>
    <ds:schemaRef ds:uri="http://schemas.openxmlformats.org/officeDocument/2006/bibliography"/>
  </ds:schemaRefs>
</ds:datastoreItem>
</file>

<file path=customXml/itemProps2.xml><?xml version="1.0" encoding="utf-8"?>
<ds:datastoreItem xmlns:ds="http://schemas.openxmlformats.org/officeDocument/2006/customXml" ds:itemID="{BBD1B9A2-AD40-4173-81BC-C27E05AE70F9}">
  <ds:schemaRefs>
    <ds:schemaRef ds:uri="http://schemas.openxmlformats.org/officeDocument/2006/bibliography"/>
  </ds:schemaRefs>
</ds:datastoreItem>
</file>

<file path=customXml/itemProps3.xml><?xml version="1.0" encoding="utf-8"?>
<ds:datastoreItem xmlns:ds="http://schemas.openxmlformats.org/officeDocument/2006/customXml" ds:itemID="{ABAA27A9-1E5E-490E-B9D3-A9DAB634C90F}">
  <ds:schemaRefs>
    <ds:schemaRef ds:uri="http://schemas.openxmlformats.org/officeDocument/2006/bibliography"/>
  </ds:schemaRefs>
</ds:datastoreItem>
</file>

<file path=customXml/itemProps4.xml><?xml version="1.0" encoding="utf-8"?>
<ds:datastoreItem xmlns:ds="http://schemas.openxmlformats.org/officeDocument/2006/customXml" ds:itemID="{B035F0E1-EB32-4427-8BAA-ABCF3B9F95CC}">
  <ds:schemaRefs>
    <ds:schemaRef ds:uri="http://schemas.openxmlformats.org/officeDocument/2006/bibliography"/>
  </ds:schemaRefs>
</ds:datastoreItem>
</file>

<file path=customXml/itemProps5.xml><?xml version="1.0" encoding="utf-8"?>
<ds:datastoreItem xmlns:ds="http://schemas.openxmlformats.org/officeDocument/2006/customXml" ds:itemID="{CCE70AF6-B8D6-4079-9262-327E338B24E5}">
  <ds:schemaRefs>
    <ds:schemaRef ds:uri="http://schemas.openxmlformats.org/officeDocument/2006/bibliography"/>
  </ds:schemaRefs>
</ds:datastoreItem>
</file>

<file path=customXml/itemProps6.xml><?xml version="1.0" encoding="utf-8"?>
<ds:datastoreItem xmlns:ds="http://schemas.openxmlformats.org/officeDocument/2006/customXml" ds:itemID="{5D8404F0-0C5D-4AAA-A03E-69FE71904BF9}">
  <ds:schemaRefs>
    <ds:schemaRef ds:uri="http://schemas.openxmlformats.org/officeDocument/2006/bibliography"/>
  </ds:schemaRefs>
</ds:datastoreItem>
</file>

<file path=customXml/itemProps7.xml><?xml version="1.0" encoding="utf-8"?>
<ds:datastoreItem xmlns:ds="http://schemas.openxmlformats.org/officeDocument/2006/customXml" ds:itemID="{99D502E8-31ED-48EB-9CCC-8D9ED1FD3950}">
  <ds:schemaRefs>
    <ds:schemaRef ds:uri="http://schemas.openxmlformats.org/officeDocument/2006/bibliography"/>
  </ds:schemaRefs>
</ds:datastoreItem>
</file>

<file path=customXml/itemProps8.xml><?xml version="1.0" encoding="utf-8"?>
<ds:datastoreItem xmlns:ds="http://schemas.openxmlformats.org/officeDocument/2006/customXml" ds:itemID="{57F964E7-5B34-4DD8-880E-65D9690F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0</TotalTime>
  <Pages>21</Pages>
  <Words>7070</Words>
  <Characters>40303</Characters>
  <Application>Microsoft Office Word</Application>
  <DocSecurity>0</DocSecurity>
  <Lines>335</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David Barnard-Wills</cp:lastModifiedBy>
  <cp:revision>2</cp:revision>
  <cp:lastPrinted>2016-04-16T07:03:00Z</cp:lastPrinted>
  <dcterms:created xsi:type="dcterms:W3CDTF">2018-05-17T12:01:00Z</dcterms:created>
  <dcterms:modified xsi:type="dcterms:W3CDTF">2018-05-17T12:01:00Z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