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7E1D0" w14:textId="42346925" w:rsidR="00D94655" w:rsidRPr="00F8741C" w:rsidRDefault="00D94655">
      <w:pPr>
        <w:rPr>
          <w:b/>
          <w:sz w:val="26"/>
          <w:szCs w:val="26"/>
        </w:rPr>
      </w:pPr>
    </w:p>
    <w:p w14:paraId="06FF79CE" w14:textId="786B776C" w:rsidR="00994A80" w:rsidRDefault="00D94655" w:rsidP="00423EC4">
      <w:pPr>
        <w:jc w:val="center"/>
        <w:rPr>
          <w:rFonts w:asciiTheme="majorHAnsi" w:hAnsiTheme="majorHAnsi" w:cstheme="majorHAnsi"/>
          <w:b/>
          <w:i/>
          <w:iCs/>
          <w:sz w:val="26"/>
          <w:szCs w:val="26"/>
        </w:rPr>
      </w:pPr>
      <w:r w:rsidRPr="00F8741C">
        <w:rPr>
          <w:rFonts w:asciiTheme="majorHAnsi" w:hAnsiTheme="majorHAnsi" w:cstheme="majorHAnsi"/>
          <w:b/>
          <w:sz w:val="26"/>
          <w:szCs w:val="26"/>
        </w:rPr>
        <w:t xml:space="preserve">Data Protection Authorities and their </w:t>
      </w:r>
      <w:r w:rsidR="00BA2BD9" w:rsidRPr="00F8741C">
        <w:rPr>
          <w:rFonts w:asciiTheme="majorHAnsi" w:hAnsiTheme="majorHAnsi" w:cstheme="majorHAnsi"/>
          <w:b/>
          <w:sz w:val="26"/>
          <w:szCs w:val="26"/>
        </w:rPr>
        <w:t xml:space="preserve">awareness-raising </w:t>
      </w:r>
      <w:r w:rsidRPr="00F8741C">
        <w:rPr>
          <w:rFonts w:asciiTheme="majorHAnsi" w:hAnsiTheme="majorHAnsi" w:cstheme="majorHAnsi"/>
          <w:b/>
          <w:sz w:val="26"/>
          <w:szCs w:val="26"/>
        </w:rPr>
        <w:t>dut</w:t>
      </w:r>
      <w:r w:rsidR="00BA2BD9" w:rsidRPr="00F8741C">
        <w:rPr>
          <w:rFonts w:asciiTheme="majorHAnsi" w:hAnsiTheme="majorHAnsi" w:cstheme="majorHAnsi"/>
          <w:b/>
          <w:sz w:val="26"/>
          <w:szCs w:val="26"/>
        </w:rPr>
        <w:t>ies</w:t>
      </w:r>
      <w:r w:rsidRPr="00F8741C">
        <w:rPr>
          <w:rFonts w:asciiTheme="majorHAnsi" w:hAnsiTheme="majorHAnsi" w:cstheme="majorHAnsi"/>
          <w:b/>
          <w:sz w:val="26"/>
          <w:szCs w:val="26"/>
        </w:rPr>
        <w:t xml:space="preserve"> under the GDPR</w:t>
      </w:r>
      <w:r w:rsidR="009C50DA" w:rsidRPr="00F8741C">
        <w:rPr>
          <w:rFonts w:asciiTheme="majorHAnsi" w:hAnsiTheme="majorHAnsi" w:cstheme="majorHAnsi"/>
          <w:b/>
          <w:sz w:val="26"/>
          <w:szCs w:val="26"/>
        </w:rPr>
        <w:t>:</w:t>
      </w:r>
      <w:r w:rsidR="00BA2BD9" w:rsidRPr="00F8741C">
        <w:rPr>
          <w:rFonts w:asciiTheme="majorHAnsi" w:hAnsiTheme="majorHAnsi" w:cstheme="majorHAnsi"/>
          <w:b/>
          <w:sz w:val="26"/>
          <w:szCs w:val="26"/>
        </w:rPr>
        <w:t xml:space="preserve"> </w:t>
      </w:r>
      <w:r w:rsidR="00561DBD" w:rsidRPr="00F8741C">
        <w:rPr>
          <w:rFonts w:asciiTheme="majorHAnsi" w:hAnsiTheme="majorHAnsi" w:cstheme="majorHAnsi"/>
          <w:b/>
          <w:i/>
          <w:iCs/>
          <w:sz w:val="26"/>
          <w:szCs w:val="26"/>
        </w:rPr>
        <w:t>T</w:t>
      </w:r>
      <w:r w:rsidR="004F7F11" w:rsidRPr="00F8741C">
        <w:rPr>
          <w:rFonts w:asciiTheme="majorHAnsi" w:hAnsiTheme="majorHAnsi" w:cstheme="majorHAnsi"/>
          <w:b/>
          <w:i/>
          <w:iCs/>
          <w:sz w:val="26"/>
          <w:szCs w:val="26"/>
        </w:rPr>
        <w:t xml:space="preserve">he case </w:t>
      </w:r>
      <w:r w:rsidR="00533ADD" w:rsidRPr="00F8741C">
        <w:rPr>
          <w:rFonts w:asciiTheme="majorHAnsi" w:hAnsiTheme="majorHAnsi" w:cstheme="majorHAnsi"/>
          <w:b/>
          <w:i/>
          <w:iCs/>
          <w:sz w:val="26"/>
          <w:szCs w:val="26"/>
        </w:rPr>
        <w:t>for</w:t>
      </w:r>
      <w:r w:rsidR="004F7F11" w:rsidRPr="00F8741C">
        <w:rPr>
          <w:rFonts w:asciiTheme="majorHAnsi" w:hAnsiTheme="majorHAnsi" w:cstheme="majorHAnsi"/>
          <w:b/>
          <w:i/>
          <w:iCs/>
          <w:sz w:val="26"/>
          <w:szCs w:val="26"/>
        </w:rPr>
        <w:t xml:space="preserve"> engaging umbrella organisations </w:t>
      </w:r>
      <w:r w:rsidR="00D40B1A" w:rsidRPr="00F8741C">
        <w:rPr>
          <w:rFonts w:asciiTheme="majorHAnsi" w:hAnsiTheme="majorHAnsi" w:cstheme="majorHAnsi"/>
          <w:b/>
          <w:i/>
          <w:iCs/>
          <w:sz w:val="26"/>
          <w:szCs w:val="26"/>
        </w:rPr>
        <w:t>to</w:t>
      </w:r>
      <w:r w:rsidR="004F7F11" w:rsidRPr="00F8741C">
        <w:rPr>
          <w:rFonts w:asciiTheme="majorHAnsi" w:hAnsiTheme="majorHAnsi" w:cstheme="majorHAnsi"/>
          <w:b/>
          <w:i/>
          <w:iCs/>
          <w:sz w:val="26"/>
          <w:szCs w:val="26"/>
        </w:rPr>
        <w:t xml:space="preserve"> disseminat</w:t>
      </w:r>
      <w:r w:rsidR="00D40B1A" w:rsidRPr="00F8741C">
        <w:rPr>
          <w:rFonts w:asciiTheme="majorHAnsi" w:hAnsiTheme="majorHAnsi" w:cstheme="majorHAnsi"/>
          <w:b/>
          <w:i/>
          <w:iCs/>
          <w:sz w:val="26"/>
          <w:szCs w:val="26"/>
        </w:rPr>
        <w:t>e</w:t>
      </w:r>
      <w:r w:rsidR="004F7F11" w:rsidRPr="00F8741C">
        <w:rPr>
          <w:rFonts w:asciiTheme="majorHAnsi" w:hAnsiTheme="majorHAnsi" w:cstheme="majorHAnsi"/>
          <w:b/>
          <w:i/>
          <w:iCs/>
          <w:sz w:val="26"/>
          <w:szCs w:val="26"/>
        </w:rPr>
        <w:t xml:space="preserve"> guidance for</w:t>
      </w:r>
      <w:r w:rsidR="00423EC4" w:rsidRPr="00F8741C">
        <w:rPr>
          <w:rFonts w:asciiTheme="majorHAnsi" w:hAnsiTheme="majorHAnsi" w:cstheme="majorHAnsi"/>
          <w:b/>
          <w:i/>
          <w:iCs/>
          <w:sz w:val="26"/>
          <w:szCs w:val="26"/>
        </w:rPr>
        <w:t xml:space="preserve"> </w:t>
      </w:r>
      <w:r w:rsidR="00BA2BD9" w:rsidRPr="00F8741C">
        <w:rPr>
          <w:rFonts w:asciiTheme="majorHAnsi" w:hAnsiTheme="majorHAnsi" w:cstheme="majorHAnsi"/>
          <w:b/>
          <w:i/>
          <w:iCs/>
          <w:sz w:val="26"/>
          <w:szCs w:val="26"/>
        </w:rPr>
        <w:t>Small and Medium-size Enterprises</w:t>
      </w:r>
    </w:p>
    <w:p w14:paraId="3241E87E" w14:textId="0A435852" w:rsidR="00B2564D" w:rsidRPr="00F70934" w:rsidRDefault="00B2564D" w:rsidP="00423EC4">
      <w:pPr>
        <w:jc w:val="center"/>
        <w:rPr>
          <w:rFonts w:asciiTheme="majorHAnsi" w:hAnsiTheme="majorHAnsi" w:cstheme="majorHAnsi"/>
          <w:b/>
          <w:i/>
          <w:iCs/>
          <w:sz w:val="26"/>
          <w:szCs w:val="26"/>
        </w:rPr>
      </w:pPr>
      <w:r w:rsidRPr="00F70934">
        <w:rPr>
          <w:rFonts w:asciiTheme="majorHAnsi" w:hAnsiTheme="majorHAnsi" w:cstheme="majorHAnsi"/>
          <w:b/>
          <w:i/>
          <w:iCs/>
          <w:sz w:val="26"/>
          <w:szCs w:val="26"/>
        </w:rPr>
        <w:t xml:space="preserve">Leanne </w:t>
      </w:r>
      <w:r w:rsidRPr="00DA469A">
        <w:rPr>
          <w:rFonts w:asciiTheme="majorHAnsi" w:hAnsiTheme="majorHAnsi" w:cstheme="majorHAnsi"/>
          <w:b/>
          <w:i/>
          <w:iCs/>
          <w:sz w:val="26"/>
          <w:szCs w:val="26"/>
        </w:rPr>
        <w:t>Cochrane</w:t>
      </w:r>
      <w:r w:rsidR="00337CCB">
        <w:rPr>
          <w:rStyle w:val="FootnoteReference"/>
          <w:rFonts w:asciiTheme="majorHAnsi" w:hAnsiTheme="majorHAnsi" w:cstheme="majorHAnsi"/>
          <w:b/>
          <w:i/>
          <w:iCs/>
          <w:sz w:val="26"/>
          <w:szCs w:val="26"/>
          <w:lang w:val="fr-CH"/>
        </w:rPr>
        <w:footnoteReference w:id="1"/>
      </w:r>
      <w:r w:rsidR="007C31AC" w:rsidRPr="00DA469A">
        <w:rPr>
          <w:rFonts w:asciiTheme="majorHAnsi" w:hAnsiTheme="majorHAnsi" w:cstheme="majorHAnsi"/>
          <w:b/>
          <w:i/>
          <w:iCs/>
          <w:sz w:val="26"/>
          <w:szCs w:val="26"/>
        </w:rPr>
        <w:t xml:space="preserve">, </w:t>
      </w:r>
      <w:r w:rsidRPr="00DA469A">
        <w:rPr>
          <w:rFonts w:asciiTheme="majorHAnsi" w:hAnsiTheme="majorHAnsi" w:cstheme="majorHAnsi"/>
          <w:b/>
          <w:i/>
          <w:iCs/>
          <w:sz w:val="26"/>
          <w:szCs w:val="26"/>
        </w:rPr>
        <w:t xml:space="preserve"> Lina Jasmontaite-Zaniewicz</w:t>
      </w:r>
      <w:r w:rsidR="00337CCB">
        <w:rPr>
          <w:rStyle w:val="FootnoteReference"/>
          <w:rFonts w:asciiTheme="majorHAnsi" w:hAnsiTheme="majorHAnsi" w:cstheme="majorHAnsi"/>
          <w:b/>
          <w:i/>
          <w:iCs/>
          <w:sz w:val="26"/>
          <w:szCs w:val="26"/>
          <w:lang w:val="fr-CH"/>
        </w:rPr>
        <w:footnoteReference w:id="2"/>
      </w:r>
      <w:r w:rsidR="00F70934">
        <w:rPr>
          <w:rFonts w:asciiTheme="majorHAnsi" w:hAnsiTheme="majorHAnsi" w:cstheme="majorHAnsi"/>
          <w:b/>
          <w:i/>
          <w:iCs/>
          <w:sz w:val="26"/>
          <w:szCs w:val="26"/>
        </w:rPr>
        <w:t xml:space="preserve"> </w:t>
      </w:r>
      <w:r w:rsidR="007C31AC" w:rsidRPr="00DA469A">
        <w:rPr>
          <w:rFonts w:asciiTheme="majorHAnsi" w:hAnsiTheme="majorHAnsi" w:cstheme="majorHAnsi"/>
          <w:b/>
          <w:i/>
          <w:iCs/>
          <w:sz w:val="26"/>
          <w:szCs w:val="26"/>
        </w:rPr>
        <w:t>&amp; David Barnard-Wills</w:t>
      </w:r>
      <w:r w:rsidR="007C31AC">
        <w:rPr>
          <w:rStyle w:val="FootnoteReference"/>
          <w:rFonts w:asciiTheme="majorHAnsi" w:hAnsiTheme="majorHAnsi" w:cstheme="majorHAnsi"/>
          <w:b/>
          <w:i/>
          <w:iCs/>
          <w:sz w:val="26"/>
          <w:szCs w:val="26"/>
          <w:lang w:val="fr-CH"/>
        </w:rPr>
        <w:footnoteReference w:id="3"/>
      </w:r>
    </w:p>
    <w:p w14:paraId="0FB30667" w14:textId="79E6AA0F" w:rsidR="00E34D16" w:rsidRPr="00E34D16" w:rsidRDefault="00E34D16" w:rsidP="00E34D16">
      <w:r w:rsidRPr="00E34D16">
        <w:rPr>
          <w:b/>
          <w:bCs/>
        </w:rPr>
        <w:t>Key words</w:t>
      </w:r>
      <w:r w:rsidRPr="00E34D16">
        <w:t xml:space="preserve">: </w:t>
      </w:r>
      <w:r>
        <w:t>awareness raising,</w:t>
      </w:r>
      <w:r w:rsidR="005F6E65">
        <w:t xml:space="preserve"> compliance, </w:t>
      </w:r>
      <w:r w:rsidR="005F6E65" w:rsidRPr="00F8741C">
        <w:t>Data Protection Authorities</w:t>
      </w:r>
      <w:r w:rsidR="005F6E65">
        <w:t>,</w:t>
      </w:r>
      <w:r>
        <w:t xml:space="preserve"> </w:t>
      </w:r>
      <w:r w:rsidR="005F6E65">
        <w:t>deterrence, enforcement strategies,</w:t>
      </w:r>
      <w:r w:rsidR="005F6E65" w:rsidRPr="00F8741C">
        <w:t xml:space="preserve"> </w:t>
      </w:r>
      <w:r w:rsidRPr="00F8741C">
        <w:t>General Data Protection Regulation</w:t>
      </w:r>
    </w:p>
    <w:p w14:paraId="244C98D8" w14:textId="5E8944BB" w:rsidR="00471C6F" w:rsidRPr="00F8741C" w:rsidRDefault="00B20850" w:rsidP="00471C6F">
      <w:pPr>
        <w:pStyle w:val="Style1"/>
        <w:numPr>
          <w:ilvl w:val="0"/>
          <w:numId w:val="4"/>
        </w:numPr>
        <w:rPr>
          <w:rFonts w:asciiTheme="majorHAnsi" w:hAnsiTheme="majorHAnsi" w:cstheme="majorHAnsi"/>
          <w:b/>
          <w:sz w:val="26"/>
          <w:szCs w:val="26"/>
        </w:rPr>
      </w:pPr>
      <w:r w:rsidRPr="00F8741C">
        <w:rPr>
          <w:rFonts w:asciiTheme="majorHAnsi" w:hAnsiTheme="majorHAnsi" w:cstheme="majorHAnsi"/>
          <w:b/>
          <w:sz w:val="26"/>
          <w:szCs w:val="26"/>
        </w:rPr>
        <w:t>Introduction</w:t>
      </w:r>
      <w:r w:rsidR="00632D19">
        <w:rPr>
          <w:rStyle w:val="FootnoteReference"/>
          <w:rFonts w:asciiTheme="majorHAnsi" w:hAnsiTheme="majorHAnsi" w:cstheme="majorHAnsi"/>
          <w:b/>
          <w:sz w:val="26"/>
          <w:szCs w:val="26"/>
        </w:rPr>
        <w:footnoteReference w:id="4"/>
      </w:r>
      <w:r w:rsidRPr="00F8741C">
        <w:rPr>
          <w:rFonts w:asciiTheme="majorHAnsi" w:hAnsiTheme="majorHAnsi" w:cstheme="majorHAnsi"/>
          <w:b/>
          <w:sz w:val="26"/>
          <w:szCs w:val="26"/>
        </w:rPr>
        <w:t xml:space="preserve"> </w:t>
      </w:r>
    </w:p>
    <w:p w14:paraId="672D188F" w14:textId="027E0C43" w:rsidR="00471C6F" w:rsidRPr="00F8741C" w:rsidRDefault="00471C6F" w:rsidP="00361BAE">
      <w:r w:rsidRPr="00F8741C">
        <w:t xml:space="preserve">The </w:t>
      </w:r>
      <w:r w:rsidR="00514956" w:rsidRPr="00F8741C">
        <w:t xml:space="preserve">effects of the </w:t>
      </w:r>
      <w:r w:rsidRPr="00F8741C">
        <w:t xml:space="preserve">General Data Protection Regulation EU </w:t>
      </w:r>
      <w:r w:rsidR="00C527FB">
        <w:t>2016</w:t>
      </w:r>
      <w:r w:rsidRPr="00F8741C">
        <w:t>/679 (GDPR) extend beyond changes in business practices concerning personal data handling in the EU and elsewhere. The set of the revised and expanded requirements, rules and obligations</w:t>
      </w:r>
      <w:r w:rsidR="008914C7" w:rsidRPr="00F8741C">
        <w:t xml:space="preserve"> of the GDPR</w:t>
      </w:r>
      <w:r w:rsidRPr="00F8741C">
        <w:t xml:space="preserve"> also </w:t>
      </w:r>
      <w:r w:rsidR="001A7D6A" w:rsidRPr="00F8741C">
        <w:t>clarified</w:t>
      </w:r>
      <w:r w:rsidR="0008551D">
        <w:t xml:space="preserve"> both</w:t>
      </w:r>
      <w:r w:rsidRPr="00F8741C">
        <w:t xml:space="preserve"> the</w:t>
      </w:r>
      <w:r w:rsidR="001A7D6A" w:rsidRPr="00F8741C">
        <w:t xml:space="preserve"> scope of</w:t>
      </w:r>
      <w:r w:rsidRPr="00F8741C">
        <w:t xml:space="preserve"> rights of data subjects and the</w:t>
      </w:r>
      <w:r w:rsidR="008914C7" w:rsidRPr="00F8741C">
        <w:t xml:space="preserve"> role </w:t>
      </w:r>
      <w:r w:rsidRPr="00F8741C">
        <w:t>of Data Protection Authorities</w:t>
      </w:r>
      <w:r w:rsidR="0067410B" w:rsidRPr="00F8741C">
        <w:t>.</w:t>
      </w:r>
    </w:p>
    <w:p w14:paraId="36A93429" w14:textId="3FF46CFE" w:rsidR="009C64F9" w:rsidRPr="00F8741C" w:rsidRDefault="00DE4C21" w:rsidP="00361BAE">
      <w:r w:rsidRPr="00F8741C">
        <w:t>A significant part of the GDPR</w:t>
      </w:r>
      <w:r w:rsidR="003F703F" w:rsidRPr="00F8741C">
        <w:t>, in fact,</w:t>
      </w:r>
      <w:r w:rsidRPr="00F8741C">
        <w:t xml:space="preserve"> </w:t>
      </w:r>
      <w:r w:rsidR="001A7D6A" w:rsidRPr="00F8741C">
        <w:t>is</w:t>
      </w:r>
      <w:r w:rsidR="007D4B29" w:rsidRPr="00F8741C">
        <w:t xml:space="preserve"> devoted to </w:t>
      </w:r>
      <w:r w:rsidRPr="00F8741C">
        <w:t>address</w:t>
      </w:r>
      <w:r w:rsidR="000C4B0F">
        <w:t>ing</w:t>
      </w:r>
      <w:r w:rsidRPr="00F8741C">
        <w:t xml:space="preserve"> the role </w:t>
      </w:r>
      <w:r w:rsidR="003F703F" w:rsidRPr="00F8741C">
        <w:t xml:space="preserve">and functioning </w:t>
      </w:r>
      <w:r w:rsidRPr="00F8741C">
        <w:t xml:space="preserve">of </w:t>
      </w:r>
      <w:r w:rsidR="00A951A3" w:rsidRPr="00F8741C">
        <w:t xml:space="preserve">Data Protection Authorities </w:t>
      </w:r>
      <w:r w:rsidRPr="00F8741C">
        <w:t xml:space="preserve">(DPAs). The GDPR in </w:t>
      </w:r>
      <w:r w:rsidR="00471C6F" w:rsidRPr="00F8741C">
        <w:t>C</w:t>
      </w:r>
      <w:r w:rsidRPr="00F8741C">
        <w:t>hapter</w:t>
      </w:r>
      <w:r w:rsidR="00471C6F" w:rsidRPr="00F8741C">
        <w:t xml:space="preserve"> VI on Independent Supervisory Authorities</w:t>
      </w:r>
      <w:r w:rsidR="00533903" w:rsidRPr="00F8741C">
        <w:rPr>
          <w:rStyle w:val="FootnoteReference"/>
        </w:rPr>
        <w:footnoteReference w:id="5"/>
      </w:r>
      <w:r w:rsidR="00471C6F" w:rsidRPr="00F8741C">
        <w:t xml:space="preserve"> </w:t>
      </w:r>
      <w:r w:rsidR="006D7A8D">
        <w:t>takes</w:t>
      </w:r>
      <w:r w:rsidR="006D7A8D" w:rsidRPr="00F8741C">
        <w:t xml:space="preserve"> </w:t>
      </w:r>
      <w:r w:rsidRPr="00F8741C">
        <w:t>into account the case law of the Court of Justice of EU</w:t>
      </w:r>
      <w:r w:rsidR="00A951A3" w:rsidRPr="00F8741C">
        <w:t xml:space="preserve"> (CJEU)</w:t>
      </w:r>
      <w:r w:rsidRPr="00F8741C">
        <w:t xml:space="preserve"> that has emerged in response to uncertainties concerning the scope of DPAs tasks</w:t>
      </w:r>
      <w:r w:rsidR="00A951A3" w:rsidRPr="00F8741C">
        <w:t xml:space="preserve">, </w:t>
      </w:r>
      <w:r w:rsidRPr="00F8741C">
        <w:t>responsibilities</w:t>
      </w:r>
      <w:r w:rsidR="00A951A3" w:rsidRPr="00F8741C">
        <w:t xml:space="preserve"> and their independence</w:t>
      </w:r>
      <w:r w:rsidR="00A54206">
        <w:t>. It</w:t>
      </w:r>
      <w:r w:rsidR="003F703F" w:rsidRPr="00F8741C">
        <w:t xml:space="preserve"> </w:t>
      </w:r>
      <w:r w:rsidR="001A7D6A" w:rsidRPr="00F8741C">
        <w:t>clarifies</w:t>
      </w:r>
      <w:r w:rsidR="00BE4E5E" w:rsidRPr="00F8741C">
        <w:t xml:space="preserve"> and to some extent </w:t>
      </w:r>
      <w:r w:rsidR="003F703F" w:rsidRPr="00F8741C">
        <w:t xml:space="preserve">redefines </w:t>
      </w:r>
      <w:r w:rsidR="00A951A3" w:rsidRPr="00F8741C">
        <w:t>DPAs responsibilit</w:t>
      </w:r>
      <w:r w:rsidR="00BE4E5E" w:rsidRPr="00F8741C">
        <w:t>ies</w:t>
      </w:r>
      <w:r w:rsidR="00B61B5A" w:rsidRPr="00F8741C">
        <w:t xml:space="preserve"> that could be seen through different lenses, such as</w:t>
      </w:r>
      <w:r w:rsidR="009C64F9" w:rsidRPr="00F8741C">
        <w:t xml:space="preserve"> that of</w:t>
      </w:r>
      <w:r w:rsidR="00B61B5A" w:rsidRPr="00F8741C">
        <w:t xml:space="preserve"> a</w:t>
      </w:r>
      <w:r w:rsidR="009C64F9" w:rsidRPr="00F8741C">
        <w:t xml:space="preserve"> leader, </w:t>
      </w:r>
      <w:r w:rsidR="00B61B5A" w:rsidRPr="00F8741C">
        <w:t xml:space="preserve">an </w:t>
      </w:r>
      <w:r w:rsidR="009C64F9" w:rsidRPr="00F8741C">
        <w:t>authoriser,</w:t>
      </w:r>
      <w:r w:rsidR="00B61B5A" w:rsidRPr="00F8741C">
        <w:t xml:space="preserve"> a</w:t>
      </w:r>
      <w:r w:rsidR="009C64F9" w:rsidRPr="00F8741C">
        <w:t xml:space="preserve"> police officer and </w:t>
      </w:r>
      <w:r w:rsidR="00B61B5A" w:rsidRPr="00F8741C">
        <w:t xml:space="preserve">a </w:t>
      </w:r>
      <w:r w:rsidR="009C64F9" w:rsidRPr="00F8741C">
        <w:t>complaint-handler</w:t>
      </w:r>
      <w:r w:rsidR="00B61B5A" w:rsidRPr="00F8741C">
        <w:t>.</w:t>
      </w:r>
      <w:r w:rsidR="009C64F9" w:rsidRPr="00F8741C">
        <w:rPr>
          <w:rStyle w:val="FootnoteReference"/>
          <w:rFonts w:asciiTheme="majorHAnsi" w:hAnsiTheme="majorHAnsi" w:cstheme="majorHAnsi"/>
          <w:sz w:val="24"/>
          <w:szCs w:val="24"/>
        </w:rPr>
        <w:footnoteReference w:id="6"/>
      </w:r>
      <w:r w:rsidR="009C64F9" w:rsidRPr="00F8741C">
        <w:rPr>
          <w:rFonts w:asciiTheme="majorHAnsi" w:hAnsiTheme="majorHAnsi" w:cstheme="majorHAnsi"/>
          <w:sz w:val="24"/>
          <w:szCs w:val="24"/>
        </w:rPr>
        <w:t xml:space="preserve"> </w:t>
      </w:r>
    </w:p>
    <w:p w14:paraId="2296E769" w14:textId="73BD2E63" w:rsidR="00720D1F" w:rsidRDefault="00BE4E5E" w:rsidP="00361BAE">
      <w:r w:rsidRPr="00F8741C">
        <w:t xml:space="preserve">The GDPR asserts that the primary responsibility of DPAs </w:t>
      </w:r>
      <w:r w:rsidR="00A951A3" w:rsidRPr="00F8741C">
        <w:t>concerns the monitoring and consistency of the application of the GDPR ‘in order to protect the fundamental rights and freedoms of natural persons in relation to processing and to facilitate the free flow of personal data within the Union’.</w:t>
      </w:r>
      <w:r w:rsidR="00A951A3" w:rsidRPr="00F8741C">
        <w:rPr>
          <w:rStyle w:val="FootnoteReference"/>
        </w:rPr>
        <w:footnoteReference w:id="7"/>
      </w:r>
      <w:r w:rsidR="00A951A3" w:rsidRPr="00F8741C">
        <w:t xml:space="preserve"> To attain this objective</w:t>
      </w:r>
      <w:r w:rsidR="00DE4C21" w:rsidRPr="00F8741C">
        <w:t xml:space="preserve"> Article </w:t>
      </w:r>
      <w:r w:rsidRPr="00F8741C">
        <w:t>57</w:t>
      </w:r>
      <w:r w:rsidR="00DE4C21" w:rsidRPr="00F8741C">
        <w:t xml:space="preserve"> lists 22 tasks </w:t>
      </w:r>
      <w:r w:rsidR="00A951A3" w:rsidRPr="00F8741C">
        <w:t>for</w:t>
      </w:r>
      <w:r w:rsidR="00DE4C21" w:rsidRPr="00F8741C">
        <w:t xml:space="preserve"> </w:t>
      </w:r>
      <w:r w:rsidR="0067410B" w:rsidRPr="00F8741C">
        <w:t>DPAs</w:t>
      </w:r>
      <w:r w:rsidR="00DE4C21" w:rsidRPr="00F8741C">
        <w:t xml:space="preserve"> that range from </w:t>
      </w:r>
      <w:r w:rsidR="00173837" w:rsidRPr="00F8741C">
        <w:t>enforcers</w:t>
      </w:r>
      <w:r w:rsidR="00A951A3" w:rsidRPr="00F8741C">
        <w:t xml:space="preserve">, </w:t>
      </w:r>
      <w:r w:rsidR="00173837" w:rsidRPr="00F8741C">
        <w:t>ombudsmen, auditors, consultants</w:t>
      </w:r>
      <w:r w:rsidR="00A951A3" w:rsidRPr="00F8741C">
        <w:t xml:space="preserve"> to</w:t>
      </w:r>
      <w:r w:rsidR="00173837" w:rsidRPr="00F8741C">
        <w:t xml:space="preserve"> policy advisors, negotiators and educators.</w:t>
      </w:r>
      <w:r w:rsidR="00173837" w:rsidRPr="00F8741C">
        <w:rPr>
          <w:rStyle w:val="FootnoteReference"/>
        </w:rPr>
        <w:footnoteReference w:id="8"/>
      </w:r>
      <w:r w:rsidR="00173837" w:rsidRPr="00F8741C">
        <w:t xml:space="preserve"> </w:t>
      </w:r>
      <w:r w:rsidRPr="00F8741C">
        <w:t>While this list leaves no doubt as to whether DPA</w:t>
      </w:r>
      <w:r w:rsidR="00B05E16" w:rsidRPr="00F8741C">
        <w:t>s</w:t>
      </w:r>
      <w:r w:rsidRPr="00F8741C">
        <w:t xml:space="preserve"> responsibilities fall beyond just enforcement, t</w:t>
      </w:r>
      <w:r w:rsidR="00173837" w:rsidRPr="00F8741C">
        <w:t xml:space="preserve">he scope of </w:t>
      </w:r>
      <w:r w:rsidR="001A7D6A" w:rsidRPr="00F8741C">
        <w:t>the</w:t>
      </w:r>
      <w:r w:rsidR="00173837" w:rsidRPr="00F8741C">
        <w:t xml:space="preserve"> role</w:t>
      </w:r>
      <w:r w:rsidRPr="00F8741C">
        <w:t xml:space="preserve"> of the educator</w:t>
      </w:r>
      <w:r w:rsidR="00B61B5A" w:rsidRPr="00F8741C">
        <w:t>, as well as the general understanding of DPAs work,</w:t>
      </w:r>
      <w:r w:rsidR="00747A87" w:rsidRPr="00F8741C">
        <w:rPr>
          <w:rStyle w:val="FootnoteReference"/>
        </w:rPr>
        <w:footnoteReference w:id="9"/>
      </w:r>
      <w:r w:rsidRPr="00F8741C">
        <w:t xml:space="preserve"> </w:t>
      </w:r>
      <w:r w:rsidR="00A951A3" w:rsidRPr="00F8741C">
        <w:t>to present day</w:t>
      </w:r>
      <w:r w:rsidR="00893F48" w:rsidRPr="00F8741C">
        <w:t xml:space="preserve"> </w:t>
      </w:r>
      <w:r w:rsidR="00173837" w:rsidRPr="00F8741C">
        <w:t xml:space="preserve">has received </w:t>
      </w:r>
      <w:r w:rsidR="00BF2046">
        <w:t>less</w:t>
      </w:r>
      <w:r w:rsidR="00BF2046" w:rsidRPr="00F8741C">
        <w:t xml:space="preserve"> </w:t>
      </w:r>
      <w:r w:rsidR="00173837" w:rsidRPr="00F8741C">
        <w:t>attention within the data protection community</w:t>
      </w:r>
      <w:r w:rsidR="00BF162C" w:rsidRPr="00F8741C">
        <w:t xml:space="preserve"> </w:t>
      </w:r>
      <w:r w:rsidR="00125039" w:rsidRPr="00F8741C">
        <w:t>and therefore w</w:t>
      </w:r>
      <w:r w:rsidR="00893F48" w:rsidRPr="00F8741C">
        <w:t>ith this paper</w:t>
      </w:r>
      <w:r w:rsidR="00173837" w:rsidRPr="00F8741C">
        <w:t xml:space="preserve"> w</w:t>
      </w:r>
      <w:r w:rsidR="00125039" w:rsidRPr="00F8741C">
        <w:t xml:space="preserve">e </w:t>
      </w:r>
      <w:r w:rsidR="0010141E">
        <w:t>to contribute in this area</w:t>
      </w:r>
      <w:r w:rsidRPr="00F8741C">
        <w:t>.</w:t>
      </w:r>
      <w:r w:rsidR="001A7D6A" w:rsidRPr="00F8741C">
        <w:t xml:space="preserve"> We</w:t>
      </w:r>
      <w:r w:rsidR="00034B2D" w:rsidRPr="00F8741C">
        <w:t xml:space="preserve"> </w:t>
      </w:r>
      <w:r w:rsidR="001A7D6A" w:rsidRPr="00F8741C">
        <w:t>reflect on the role</w:t>
      </w:r>
      <w:r w:rsidR="00B05E16" w:rsidRPr="00F8741C">
        <w:t xml:space="preserve"> of</w:t>
      </w:r>
      <w:r w:rsidR="001A7D6A" w:rsidRPr="00F8741C">
        <w:t xml:space="preserve"> DPAs as educators through their engagement in awareness raising campaigns to controllers, processors and the general public. </w:t>
      </w:r>
      <w:r w:rsidR="00034B2D" w:rsidRPr="00F8741C">
        <w:t xml:space="preserve">In particular, we focus on DPAs awareness efforts </w:t>
      </w:r>
      <w:r w:rsidR="00034B2D" w:rsidRPr="00F8741C">
        <w:lastRenderedPageBreak/>
        <w:t xml:space="preserve">directed </w:t>
      </w:r>
      <w:r w:rsidR="009441F5">
        <w:t>at</w:t>
      </w:r>
      <w:r w:rsidR="009441F5" w:rsidRPr="00F8741C">
        <w:t xml:space="preserve"> </w:t>
      </w:r>
      <w:r w:rsidR="00034B2D" w:rsidRPr="00F8741C">
        <w:t xml:space="preserve">Small and Medium-size Enterprises (SMEs) in </w:t>
      </w:r>
      <w:r w:rsidR="009441F5">
        <w:t>the</w:t>
      </w:r>
      <w:r w:rsidR="00034B2D" w:rsidRPr="00F8741C">
        <w:t xml:space="preserve"> run </w:t>
      </w:r>
      <w:r w:rsidR="009441F5">
        <w:t>up for the GDPR becoming directly appli</w:t>
      </w:r>
      <w:r w:rsidR="00DA469A">
        <w:t>c</w:t>
      </w:r>
      <w:r w:rsidR="009441F5">
        <w:t xml:space="preserve">able in </w:t>
      </w:r>
      <w:r w:rsidR="00034B2D" w:rsidRPr="00F8741C">
        <w:t>May 201</w:t>
      </w:r>
      <w:r w:rsidR="005F6E65">
        <w:t>8</w:t>
      </w:r>
      <w:r w:rsidR="009441F5">
        <w:t xml:space="preserve">. </w:t>
      </w:r>
      <w:r w:rsidR="00034B2D" w:rsidRPr="00F8741C">
        <w:t xml:space="preserve">DPAs clearly spelled out that obligations stemming from this legal framework no longer </w:t>
      </w:r>
      <w:r w:rsidR="00F9511C" w:rsidRPr="00F8741C">
        <w:t>only</w:t>
      </w:r>
      <w:r w:rsidR="00F9511C" w:rsidRPr="00F8741C" w:rsidDel="00F9511C">
        <w:t xml:space="preserve"> </w:t>
      </w:r>
      <w:r w:rsidR="00034B2D" w:rsidRPr="00F8741C">
        <w:t>concern global technology giants like Facebook and Google, their questionable business practices and other data driven organisation. Any other entities that process personal data in the EU or that process personal data of the individuals based in the EU, with SMEs being no exception, must comply with the obligations stemming from the GDPR.</w:t>
      </w:r>
      <w:r w:rsidR="00774584">
        <w:rPr>
          <w:rStyle w:val="FootnoteReference"/>
        </w:rPr>
        <w:footnoteReference w:id="10"/>
      </w:r>
      <w:r w:rsidR="00B05E16" w:rsidRPr="00F8741C">
        <w:t xml:space="preserve"> </w:t>
      </w:r>
    </w:p>
    <w:p w14:paraId="0718BA20" w14:textId="570444B9" w:rsidR="001C31FD" w:rsidRPr="00F8741C" w:rsidRDefault="00B05E16" w:rsidP="00361BAE">
      <w:r w:rsidRPr="00F8741C">
        <w:t>The enforcement action</w:t>
      </w:r>
      <w:r w:rsidR="001C31FD" w:rsidRPr="00F8741C">
        <w:t>s</w:t>
      </w:r>
      <w:r w:rsidRPr="00F8741C">
        <w:t xml:space="preserve"> </w:t>
      </w:r>
      <w:r w:rsidR="006017EC" w:rsidRPr="00F8741C">
        <w:t xml:space="preserve">undertaken </w:t>
      </w:r>
      <w:r w:rsidRPr="00F8741C">
        <w:t>by DPAs</w:t>
      </w:r>
      <w:r w:rsidR="006017EC" w:rsidRPr="00F8741C">
        <w:t xml:space="preserve"> leave no doubt about the universal applicability of the GDPR.</w:t>
      </w:r>
      <w:r w:rsidR="004016BF" w:rsidRPr="00F8741C">
        <w:t xml:space="preserve"> The most</w:t>
      </w:r>
      <w:r w:rsidR="006017EC" w:rsidRPr="00F8741C">
        <w:t xml:space="preserve"> </w:t>
      </w:r>
      <w:r w:rsidR="004016BF" w:rsidRPr="00F8741C">
        <w:t>i</w:t>
      </w:r>
      <w:r w:rsidR="006017EC" w:rsidRPr="00F8741C">
        <w:t>llustrative examples in this regard could be</w:t>
      </w:r>
      <w:r w:rsidR="001C31FD" w:rsidRPr="00F8741C">
        <w:t xml:space="preserve"> a 15000 EUR</w:t>
      </w:r>
      <w:r w:rsidRPr="00F8741C">
        <w:t xml:space="preserve"> fine issued by the Belgian DPA in late 2019 </w:t>
      </w:r>
      <w:r w:rsidR="001C31FD" w:rsidRPr="00F8741C">
        <w:t xml:space="preserve">to a SME for not complying with information obligations </w:t>
      </w:r>
      <w:r w:rsidR="004016BF" w:rsidRPr="00F8741C">
        <w:t>stemming from the GDPR when using</w:t>
      </w:r>
      <w:r w:rsidR="001C31FD" w:rsidRPr="00F8741C">
        <w:t xml:space="preserve"> cookies</w:t>
      </w:r>
      <w:r w:rsidR="00762EB3">
        <w:t>,</w:t>
      </w:r>
      <w:r w:rsidR="001C31FD" w:rsidRPr="00F8741C">
        <w:t xml:space="preserve"> </w:t>
      </w:r>
      <w:r w:rsidR="004016BF" w:rsidRPr="00F8741C">
        <w:t>and</w:t>
      </w:r>
      <w:r w:rsidR="001C31FD" w:rsidRPr="00F8741C">
        <w:t xml:space="preserve"> a 20000 EUR fine issued by CNIL to the translation company after the company</w:t>
      </w:r>
      <w:r w:rsidR="004016BF" w:rsidRPr="00F8741C">
        <w:t xml:space="preserve"> has been</w:t>
      </w:r>
      <w:r w:rsidR="001C31FD" w:rsidRPr="00F8741C">
        <w:t xml:space="preserve"> continuously filming its employees at their workstations and in this way breaching data protection rights of employees.</w:t>
      </w:r>
      <w:r w:rsidR="001C31FD" w:rsidRPr="00F8741C">
        <w:rPr>
          <w:rStyle w:val="FootnoteReference"/>
        </w:rPr>
        <w:footnoteReference w:id="11"/>
      </w:r>
    </w:p>
    <w:p w14:paraId="2C1470A5" w14:textId="6705B3C0" w:rsidR="006E17BF" w:rsidRPr="00F8741C" w:rsidRDefault="00720D1F" w:rsidP="00361BAE">
      <w:pPr>
        <w:rPr>
          <w:rFonts w:asciiTheme="majorHAnsi" w:hAnsiTheme="majorHAnsi" w:cstheme="majorHAnsi"/>
          <w:sz w:val="24"/>
          <w:szCs w:val="24"/>
        </w:rPr>
      </w:pPr>
      <w:r>
        <w:t>R</w:t>
      </w:r>
      <w:r w:rsidR="006017EC" w:rsidRPr="00F8741C">
        <w:t>ecognising that ‘DPAs are multi-taskers’,</w:t>
      </w:r>
      <w:r w:rsidR="006017EC" w:rsidRPr="00F8741C">
        <w:rPr>
          <w:rStyle w:val="FootnoteReference"/>
          <w:rFonts w:asciiTheme="majorHAnsi" w:hAnsiTheme="majorHAnsi" w:cstheme="majorHAnsi"/>
          <w:sz w:val="24"/>
          <w:szCs w:val="24"/>
        </w:rPr>
        <w:footnoteReference w:id="12"/>
      </w:r>
      <w:r w:rsidR="006017EC" w:rsidRPr="00F8741C">
        <w:t xml:space="preserve"> we</w:t>
      </w:r>
      <w:r>
        <w:t xml:space="preserve"> deem it necessary to reflect on other DPAs duties concerning monitoring and consistency of the application of the GDPR.</w:t>
      </w:r>
      <w:r w:rsidR="00FD484B">
        <w:t xml:space="preserve"> To this end, we</w:t>
      </w:r>
      <w:r w:rsidR="006017EC" w:rsidRPr="00F8741C">
        <w:t xml:space="preserve"> consider possible approaches DPAs could take in order to satisfy their obligation to raise awareness about data protection and </w:t>
      </w:r>
      <w:r w:rsidR="00533021">
        <w:t>wide disseminate information to</w:t>
      </w:r>
      <w:r w:rsidR="006017EC" w:rsidRPr="00F8741C">
        <w:t xml:space="preserve"> SMEs. In particular, we </w:t>
      </w:r>
      <w:r w:rsidR="00B37F15">
        <w:t>consider</w:t>
      </w:r>
      <w:r w:rsidR="00B37F15" w:rsidRPr="00F8741C">
        <w:t xml:space="preserve"> </w:t>
      </w:r>
      <w:r w:rsidR="006017EC" w:rsidRPr="00F8741C">
        <w:t>how DPAs could aid SMEs with limited resources with a clear and targeted guidance that would allow to begin their GDPR compliance journey. To answer this question, i</w:t>
      </w:r>
      <w:r w:rsidR="00BE4E5E" w:rsidRPr="00F8741C">
        <w:t xml:space="preserve">n this paper we build our argument </w:t>
      </w:r>
      <w:r w:rsidR="001315D7" w:rsidRPr="00F8741C">
        <w:t xml:space="preserve">by synthesising our observations </w:t>
      </w:r>
      <w:r w:rsidR="00D73B9E">
        <w:t>from</w:t>
      </w:r>
      <w:r w:rsidR="001315D7" w:rsidRPr="00F8741C">
        <w:t xml:space="preserve"> interviews</w:t>
      </w:r>
      <w:r w:rsidR="00BF162C" w:rsidRPr="00F8741C">
        <w:t xml:space="preserve"> conducted</w:t>
      </w:r>
      <w:r w:rsidR="001315D7" w:rsidRPr="00F8741C">
        <w:t xml:space="preserve"> with </w:t>
      </w:r>
      <w:r w:rsidR="00BF162C" w:rsidRPr="00F8741C">
        <w:t xml:space="preserve">18 </w:t>
      </w:r>
      <w:r w:rsidR="001315D7" w:rsidRPr="00F8741C">
        <w:t>DPAs</w:t>
      </w:r>
      <w:r w:rsidR="004E31B7" w:rsidRPr="00F8741C">
        <w:t>,</w:t>
      </w:r>
      <w:r w:rsidR="001315D7" w:rsidRPr="00F8741C">
        <w:t xml:space="preserve"> </w:t>
      </w:r>
      <w:r w:rsidR="004E31B7" w:rsidRPr="00F8741C">
        <w:t>22</w:t>
      </w:r>
      <w:r w:rsidR="00BF162C" w:rsidRPr="00F8741C">
        <w:t xml:space="preserve"> </w:t>
      </w:r>
      <w:r w:rsidR="001315D7" w:rsidRPr="00F8741C">
        <w:t xml:space="preserve">SME association representatives, </w:t>
      </w:r>
      <w:r w:rsidR="004E31B7" w:rsidRPr="00F8741C">
        <w:t>52-60</w:t>
      </w:r>
      <w:r w:rsidR="001315D7" w:rsidRPr="00F8741C">
        <w:t xml:space="preserve"> </w:t>
      </w:r>
      <w:r w:rsidR="004E31B7" w:rsidRPr="00F8741C">
        <w:t>respondents to the online survey and 11 face to face interviews with SME representatives that were conducted</w:t>
      </w:r>
      <w:r w:rsidR="00BE4E5E" w:rsidRPr="00F8741C">
        <w:t xml:space="preserve"> within the scope </w:t>
      </w:r>
      <w:r w:rsidR="000E60D2">
        <w:t xml:space="preserve">of </w:t>
      </w:r>
      <w:r w:rsidR="00BE4E5E" w:rsidRPr="00F8741C">
        <w:t>the STAR II research</w:t>
      </w:r>
      <w:r w:rsidR="00E53DFA" w:rsidRPr="00F8741C">
        <w:t xml:space="preserve"> in 2019</w:t>
      </w:r>
      <w:r w:rsidR="004E31B7" w:rsidRPr="00F8741C">
        <w:rPr>
          <w:rFonts w:asciiTheme="majorHAnsi" w:hAnsiTheme="majorHAnsi" w:cstheme="majorHAnsi"/>
          <w:sz w:val="24"/>
          <w:szCs w:val="24"/>
        </w:rPr>
        <w:t>.</w:t>
      </w:r>
      <w:r w:rsidR="001315D7" w:rsidRPr="00F8741C">
        <w:rPr>
          <w:rStyle w:val="FootnoteReference"/>
        </w:rPr>
        <w:footnoteReference w:id="13"/>
      </w:r>
    </w:p>
    <w:p w14:paraId="76EE357D" w14:textId="3A59C90E" w:rsidR="001315D7" w:rsidRPr="00F8741C" w:rsidRDefault="00034B2D" w:rsidP="00361BAE">
      <w:r w:rsidRPr="00F70934">
        <w:t xml:space="preserve">We commence our paper by placing awareness duties within the broader </w:t>
      </w:r>
      <w:r w:rsidR="008E49FB" w:rsidRPr="00F70934">
        <w:t>scope of</w:t>
      </w:r>
      <w:r w:rsidRPr="00F70934">
        <w:t xml:space="preserve"> </w:t>
      </w:r>
      <w:r w:rsidR="00097BA8" w:rsidRPr="00F70934">
        <w:t xml:space="preserve">an </w:t>
      </w:r>
      <w:r w:rsidRPr="00F70934">
        <w:t xml:space="preserve">enforcement </w:t>
      </w:r>
      <w:r w:rsidR="008E49FB" w:rsidRPr="00F70934">
        <w:t>framework and by</w:t>
      </w:r>
      <w:r w:rsidR="001315D7" w:rsidRPr="00F70934">
        <w:t xml:space="preserve"> reflect</w:t>
      </w:r>
      <w:r w:rsidR="008E49FB" w:rsidRPr="00F70934">
        <w:t>ing</w:t>
      </w:r>
      <w:r w:rsidR="001315D7" w:rsidRPr="00F70934">
        <w:t xml:space="preserve"> on</w:t>
      </w:r>
      <w:r w:rsidR="00232465" w:rsidRPr="00F70934">
        <w:t xml:space="preserve"> the legislators</w:t>
      </w:r>
      <w:r w:rsidR="001A0847" w:rsidRPr="00F70934">
        <w:t>’</w:t>
      </w:r>
      <w:r w:rsidR="00232465" w:rsidRPr="00F70934">
        <w:t xml:space="preserve"> </w:t>
      </w:r>
      <w:r w:rsidR="00594F3C" w:rsidRPr="00F70934">
        <w:t xml:space="preserve">reasoning </w:t>
      </w:r>
      <w:r w:rsidR="001A0847" w:rsidRPr="00F70934">
        <w:t>behind the</w:t>
      </w:r>
      <w:r w:rsidR="00594F3C" w:rsidRPr="00F70934">
        <w:t xml:space="preserve"> explicit inclu</w:t>
      </w:r>
      <w:r w:rsidR="001A0847" w:rsidRPr="00F70934">
        <w:t>sion of</w:t>
      </w:r>
      <w:r w:rsidR="001315D7" w:rsidRPr="00F70934">
        <w:t xml:space="preserve"> </w:t>
      </w:r>
      <w:r w:rsidR="008E49FB" w:rsidRPr="00F70934">
        <w:t xml:space="preserve">the </w:t>
      </w:r>
      <w:r w:rsidR="001315D7" w:rsidRPr="00F70934">
        <w:t>awareness raising</w:t>
      </w:r>
      <w:r w:rsidR="00594F3C" w:rsidRPr="00F70934">
        <w:t xml:space="preserve"> task among </w:t>
      </w:r>
      <w:r w:rsidR="008E49FB" w:rsidRPr="00F70934">
        <w:t xml:space="preserve">others in </w:t>
      </w:r>
      <w:r w:rsidR="00594F3C" w:rsidRPr="00F70934">
        <w:t xml:space="preserve">the list </w:t>
      </w:r>
      <w:r w:rsidR="008E49FB" w:rsidRPr="00F70934">
        <w:t>of</w:t>
      </w:r>
      <w:r w:rsidR="00594F3C" w:rsidRPr="00F70934">
        <w:t xml:space="preserve"> </w:t>
      </w:r>
      <w:r w:rsidR="008B10A1" w:rsidRPr="00F70934">
        <w:t>A</w:t>
      </w:r>
      <w:r w:rsidR="00594F3C" w:rsidRPr="00F70934">
        <w:t xml:space="preserve">rticle </w:t>
      </w:r>
      <w:r w:rsidR="008B10A1" w:rsidRPr="00F70934">
        <w:t>57</w:t>
      </w:r>
      <w:r w:rsidR="00594F3C" w:rsidRPr="00F70934">
        <w:t>.</w:t>
      </w:r>
      <w:r w:rsidR="001A0847" w:rsidRPr="00F70934">
        <w:t xml:space="preserve"> </w:t>
      </w:r>
      <w:r w:rsidR="003E7339" w:rsidRPr="00F70934">
        <w:t xml:space="preserve">Before moving on to </w:t>
      </w:r>
      <w:r w:rsidR="00A101C7" w:rsidRPr="00F70934">
        <w:t>examine</w:t>
      </w:r>
      <w:r w:rsidR="00594F3C" w:rsidRPr="00F70934">
        <w:t xml:space="preserve"> </w:t>
      </w:r>
      <w:r w:rsidR="008E49FB" w:rsidRPr="00F70934">
        <w:t>state of the art specific initiatives targeting SMEs developed by DPAs</w:t>
      </w:r>
      <w:r w:rsidR="001315D7" w:rsidRPr="00F70934">
        <w:t>,</w:t>
      </w:r>
      <w:r w:rsidR="003E7339" w:rsidRPr="00F70934">
        <w:t xml:space="preserve"> we </w:t>
      </w:r>
      <w:r w:rsidR="008E49FB" w:rsidRPr="00F70934">
        <w:t>introduce reasons</w:t>
      </w:r>
      <w:r w:rsidR="00F90316" w:rsidRPr="00F70934">
        <w:t xml:space="preserve"> </w:t>
      </w:r>
      <w:r w:rsidR="00595B44" w:rsidRPr="00F70934">
        <w:t xml:space="preserve">for which </w:t>
      </w:r>
      <w:r w:rsidR="003E7339" w:rsidRPr="00F70934">
        <w:t xml:space="preserve">SMEs </w:t>
      </w:r>
      <w:r w:rsidR="00595B44" w:rsidRPr="00F70934">
        <w:t xml:space="preserve">should be awarded with a special status </w:t>
      </w:r>
      <w:r w:rsidR="003E7339" w:rsidRPr="00F70934">
        <w:t>(consider</w:t>
      </w:r>
      <w:r w:rsidR="002C4783" w:rsidRPr="00F70934">
        <w:t>ing</w:t>
      </w:r>
      <w:r w:rsidR="003E7339" w:rsidRPr="00F70934">
        <w:t xml:space="preserve"> legal regimes</w:t>
      </w:r>
      <w:r w:rsidR="003E7339" w:rsidRPr="00F8741C">
        <w:t xml:space="preserve"> in other contexts</w:t>
      </w:r>
      <w:r w:rsidR="00774584">
        <w:t>, such as tax law</w:t>
      </w:r>
      <w:r w:rsidR="003E7339" w:rsidRPr="00F8741C">
        <w:t>)</w:t>
      </w:r>
      <w:r w:rsidR="00F90316" w:rsidRPr="00F8741C">
        <w:t>.</w:t>
      </w:r>
    </w:p>
    <w:p w14:paraId="005FD6A7" w14:textId="52DB2708" w:rsidR="006E17BF" w:rsidRPr="00F8741C" w:rsidRDefault="008B10A1" w:rsidP="00361BAE">
      <w:r w:rsidRPr="00F8741C">
        <w:t xml:space="preserve">Ultimately, we suggest that DPAs should go against the modern efficiency trend of ‘cutting out the middleman’ </w:t>
      </w:r>
      <w:r w:rsidR="00FD484B">
        <w:t>a</w:t>
      </w:r>
      <w:r w:rsidRPr="00F8741C">
        <w:t>s a response to the unique pressures on SMEs as “time poor”</w:t>
      </w:r>
      <w:r w:rsidR="00DB7998">
        <w:t>. These</w:t>
      </w:r>
      <w:r w:rsidRPr="00F8741C">
        <w:t xml:space="preserve"> organisations</w:t>
      </w:r>
      <w:r w:rsidR="00595B44" w:rsidRPr="00F8741C">
        <w:t xml:space="preserve"> tend to lack time and resources to </w:t>
      </w:r>
      <w:r w:rsidR="003F63EB">
        <w:t xml:space="preserve">easily understand and </w:t>
      </w:r>
      <w:r w:rsidR="00595B44" w:rsidRPr="00F8741C">
        <w:t xml:space="preserve">communicate their needs to DPAs. </w:t>
      </w:r>
      <w:r w:rsidR="005A563E">
        <w:t>For the</w:t>
      </w:r>
      <w:r w:rsidR="00595B44" w:rsidRPr="00F8741C">
        <w:t xml:space="preserve"> DPAs</w:t>
      </w:r>
      <w:r w:rsidR="0066158C">
        <w:t xml:space="preserve"> to </w:t>
      </w:r>
      <w:r w:rsidR="00595B44" w:rsidRPr="00F8741C">
        <w:t xml:space="preserve">understand SME needs, it seems imperative </w:t>
      </w:r>
      <w:r w:rsidR="0066158C">
        <w:t>that they</w:t>
      </w:r>
      <w:r w:rsidR="0066158C" w:rsidRPr="00F8741C">
        <w:t xml:space="preserve"> </w:t>
      </w:r>
      <w:r w:rsidR="00595B44" w:rsidRPr="00F8741C">
        <w:t xml:space="preserve">have direct contact with SME representatives. As this is the case, we suggest that this role could be potentially done by </w:t>
      </w:r>
      <w:r w:rsidR="00805AFA">
        <w:t>SME Associations</w:t>
      </w:r>
      <w:r w:rsidR="00595B44" w:rsidRPr="00F8741C">
        <w:t>.</w:t>
      </w:r>
      <w:r w:rsidR="003F2426">
        <w:t xml:space="preserve"> </w:t>
      </w:r>
      <w:r w:rsidR="002A37F7">
        <w:t>This would allow for the strategic leverag</w:t>
      </w:r>
      <w:r w:rsidR="003F2426">
        <w:t>ing</w:t>
      </w:r>
      <w:r w:rsidR="002A37F7">
        <w:t xml:space="preserve"> of existing communications networks and relationship</w:t>
      </w:r>
      <w:r w:rsidR="003F2426">
        <w:t>s</w:t>
      </w:r>
      <w:r w:rsidR="002A37F7">
        <w:t xml:space="preserve">. </w:t>
      </w:r>
    </w:p>
    <w:p w14:paraId="375C92B8" w14:textId="77777777" w:rsidR="009C50DA" w:rsidRPr="00F8741C" w:rsidRDefault="009C50DA"/>
    <w:p w14:paraId="6714711C" w14:textId="022E1C5C" w:rsidR="00B20850" w:rsidRPr="00F8741C" w:rsidRDefault="004E78DF" w:rsidP="00952A1B">
      <w:pPr>
        <w:pStyle w:val="ListParagraph"/>
        <w:numPr>
          <w:ilvl w:val="0"/>
          <w:numId w:val="4"/>
        </w:numPr>
        <w:rPr>
          <w:rFonts w:asciiTheme="majorHAnsi" w:hAnsiTheme="majorHAnsi" w:cstheme="majorHAnsi"/>
          <w:b/>
          <w:sz w:val="26"/>
          <w:szCs w:val="26"/>
        </w:rPr>
      </w:pPr>
      <w:r w:rsidRPr="00F8741C">
        <w:rPr>
          <w:rFonts w:asciiTheme="majorHAnsi" w:hAnsiTheme="majorHAnsi" w:cstheme="majorHAnsi"/>
          <w:b/>
          <w:sz w:val="26"/>
          <w:szCs w:val="26"/>
        </w:rPr>
        <w:t xml:space="preserve">Enforcement and </w:t>
      </w:r>
      <w:r w:rsidR="00641441" w:rsidRPr="00F8741C">
        <w:rPr>
          <w:rFonts w:asciiTheme="majorHAnsi" w:hAnsiTheme="majorHAnsi" w:cstheme="majorHAnsi"/>
          <w:b/>
          <w:sz w:val="26"/>
          <w:szCs w:val="26"/>
        </w:rPr>
        <w:t>a</w:t>
      </w:r>
      <w:r w:rsidR="003E7339" w:rsidRPr="00F8741C">
        <w:rPr>
          <w:rFonts w:asciiTheme="majorHAnsi" w:hAnsiTheme="majorHAnsi" w:cstheme="majorHAnsi"/>
          <w:b/>
          <w:sz w:val="26"/>
          <w:szCs w:val="26"/>
        </w:rPr>
        <w:t>wareness raising duties of DPAs</w:t>
      </w:r>
      <w:r w:rsidR="00B20850" w:rsidRPr="00F8741C">
        <w:rPr>
          <w:rFonts w:asciiTheme="majorHAnsi" w:hAnsiTheme="majorHAnsi" w:cstheme="majorHAnsi"/>
          <w:b/>
          <w:sz w:val="26"/>
          <w:szCs w:val="26"/>
        </w:rPr>
        <w:t xml:space="preserve"> </w:t>
      </w:r>
    </w:p>
    <w:p w14:paraId="1207EA28" w14:textId="3CC6DA31" w:rsidR="00200C12" w:rsidRPr="00F8741C" w:rsidRDefault="001079BB" w:rsidP="00F7641E">
      <w:r w:rsidRPr="00F8741C">
        <w:lastRenderedPageBreak/>
        <w:t xml:space="preserve">Dynamics of </w:t>
      </w:r>
      <w:r w:rsidR="003E3A77" w:rsidRPr="00F8741C">
        <w:t>enforcement</w:t>
      </w:r>
      <w:r w:rsidRPr="00F8741C">
        <w:t xml:space="preserve"> </w:t>
      </w:r>
      <w:r w:rsidR="00641441" w:rsidRPr="00F8741C">
        <w:t xml:space="preserve">powers provided </w:t>
      </w:r>
      <w:r w:rsidR="003E3A77" w:rsidRPr="00F8741C">
        <w:t xml:space="preserve">within the </w:t>
      </w:r>
      <w:r w:rsidR="00641441" w:rsidRPr="00F8741C">
        <w:t xml:space="preserve">scope of the </w:t>
      </w:r>
      <w:r w:rsidR="003E3A77" w:rsidRPr="00F8741C">
        <w:t xml:space="preserve">EU data protection framework </w:t>
      </w:r>
      <w:r w:rsidR="00641441" w:rsidRPr="00F8741C">
        <w:t xml:space="preserve">have shaped awareness raising </w:t>
      </w:r>
      <w:r w:rsidR="00641441" w:rsidRPr="00EE70A4">
        <w:t>duties of DPAs.</w:t>
      </w:r>
      <w:r w:rsidR="00676121" w:rsidRPr="00EE70A4">
        <w:rPr>
          <w:rStyle w:val="FootnoteReference"/>
        </w:rPr>
        <w:footnoteReference w:id="14"/>
      </w:r>
      <w:r w:rsidR="00641441" w:rsidRPr="00EE70A4">
        <w:t xml:space="preserve"> </w:t>
      </w:r>
      <w:r w:rsidR="00ED35AD" w:rsidRPr="00EE70A4">
        <w:t>It can be suggested that t</w:t>
      </w:r>
      <w:r w:rsidR="00641441" w:rsidRPr="00EE70A4">
        <w:t xml:space="preserve">o compensate for being awarded with limited </w:t>
      </w:r>
      <w:r w:rsidR="00641441" w:rsidRPr="004C000F">
        <w:t>enforcement powers to impose the so called ‘deterrence’ style enforcement</w:t>
      </w:r>
      <w:r w:rsidR="00F90316" w:rsidRPr="004C000F">
        <w:t xml:space="preserve"> </w:t>
      </w:r>
      <w:r w:rsidR="00ED35AD" w:rsidRPr="004C000F">
        <w:t xml:space="preserve">and significant fines </w:t>
      </w:r>
      <w:r w:rsidR="00F90316" w:rsidRPr="004C000F">
        <w:t>under the Data Protection Directive 95/46/EC</w:t>
      </w:r>
      <w:r w:rsidR="00641441" w:rsidRPr="004C000F">
        <w:t>, for most of DPAs a</w:t>
      </w:r>
      <w:r w:rsidR="002C33E7" w:rsidRPr="004C000F">
        <w:t xml:space="preserve">wareness raising duties have long been part of </w:t>
      </w:r>
      <w:r w:rsidR="00F90316" w:rsidRPr="004C000F">
        <w:t>their</w:t>
      </w:r>
      <w:r w:rsidR="002C33E7" w:rsidRPr="004C000F">
        <w:t xml:space="preserve"> enforcement strategies</w:t>
      </w:r>
      <w:r w:rsidR="00641441" w:rsidRPr="00F8741C">
        <w:t>. In view of this, it can be even argued that m</w:t>
      </w:r>
      <w:r w:rsidR="004C09B6" w:rsidRPr="00F8741C">
        <w:t xml:space="preserve">ost of the DPAs </w:t>
      </w:r>
      <w:r w:rsidR="005A771F">
        <w:t>acted in accordance</w:t>
      </w:r>
      <w:r w:rsidR="004C09B6" w:rsidRPr="00F8741C">
        <w:t xml:space="preserve"> the </w:t>
      </w:r>
      <w:r w:rsidR="00ED35AD" w:rsidRPr="00F8741C">
        <w:t>recommendation</w:t>
      </w:r>
      <w:r w:rsidR="004C09B6" w:rsidRPr="00F8741C">
        <w:t xml:space="preserve"> put forward by </w:t>
      </w:r>
      <w:r w:rsidR="00BB23FA" w:rsidRPr="00F8741C">
        <w:t xml:space="preserve">Robert Baldwin and Martin Cave </w:t>
      </w:r>
      <w:r w:rsidR="00F90316" w:rsidRPr="00F8741C">
        <w:t xml:space="preserve">in their seminal work on understanding regulation </w:t>
      </w:r>
      <w:r w:rsidR="004C09B6" w:rsidRPr="00F8741C">
        <w:t>that rules ‘have to be employed by enforcers in conjunction with different compliance-seeking strategies – be these prosecutions, administrative sanctions, or processes of persuasion, negotiation, advice, negotiation, education, or promotion’.</w:t>
      </w:r>
      <w:r w:rsidR="004C09B6" w:rsidRPr="00F8741C">
        <w:rPr>
          <w:rStyle w:val="FootnoteReference"/>
        </w:rPr>
        <w:footnoteReference w:id="15"/>
      </w:r>
      <w:r w:rsidR="004C09B6" w:rsidRPr="00F8741C">
        <w:t xml:space="preserve"> </w:t>
      </w:r>
      <w:r w:rsidR="00641441" w:rsidRPr="00F8741C">
        <w:t>B</w:t>
      </w:r>
      <w:r w:rsidR="002C33E7" w:rsidRPr="00F8741C">
        <w:t>y means of opinions</w:t>
      </w:r>
      <w:r w:rsidR="00641441" w:rsidRPr="00F8741C">
        <w:t xml:space="preserve">, </w:t>
      </w:r>
      <w:r w:rsidR="002C33E7" w:rsidRPr="00F8741C">
        <w:t>guidelines</w:t>
      </w:r>
      <w:r w:rsidR="00641441" w:rsidRPr="00F8741C">
        <w:t>, public engagements and other similar awareness raising</w:t>
      </w:r>
      <w:r w:rsidR="00F7641E" w:rsidRPr="00F8741C">
        <w:t xml:space="preserve"> activities</w:t>
      </w:r>
      <w:r w:rsidR="00641441" w:rsidRPr="00F8741C">
        <w:t xml:space="preserve">, </w:t>
      </w:r>
      <w:r w:rsidR="00200C12" w:rsidRPr="00F8741C">
        <w:t xml:space="preserve">the well-intentioned </w:t>
      </w:r>
      <w:r w:rsidR="00ED35AD" w:rsidRPr="00F8741C">
        <w:t xml:space="preserve">national </w:t>
      </w:r>
      <w:r w:rsidR="00200C12" w:rsidRPr="00F8741C">
        <w:t>regulators sought to reach</w:t>
      </w:r>
      <w:r w:rsidR="00CE68E6">
        <w:t>,</w:t>
      </w:r>
      <w:r w:rsidR="00200C12" w:rsidRPr="00F8741C">
        <w:t xml:space="preserve"> </w:t>
      </w:r>
      <w:r w:rsidR="00DD0156" w:rsidRPr="00F8741C">
        <w:t>on the one hand</w:t>
      </w:r>
      <w:r w:rsidR="00CE68E6">
        <w:t>,</w:t>
      </w:r>
      <w:r w:rsidR="00200C12" w:rsidRPr="00F8741C">
        <w:t xml:space="preserve"> individuals, whose rights are affected</w:t>
      </w:r>
      <w:r w:rsidR="00F7641E" w:rsidRPr="00F8741C">
        <w:t>,</w:t>
      </w:r>
      <w:r w:rsidR="00200C12" w:rsidRPr="00F8741C">
        <w:t xml:space="preserve"> and</w:t>
      </w:r>
      <w:r w:rsidR="00CE68E6">
        <w:t>,</w:t>
      </w:r>
      <w:r w:rsidR="00200C12" w:rsidRPr="00F8741C">
        <w:t xml:space="preserve"> on the other hand, ‘controllers’ and ‘processors’</w:t>
      </w:r>
      <w:r w:rsidR="00F7641E" w:rsidRPr="00F8741C">
        <w:t>,</w:t>
      </w:r>
      <w:r w:rsidR="00200C12" w:rsidRPr="00F8741C">
        <w:t xml:space="preserve"> who handle personal data of individuals. </w:t>
      </w:r>
      <w:r w:rsidR="00F7641E" w:rsidRPr="00F8741C">
        <w:t xml:space="preserve">However, </w:t>
      </w:r>
      <w:r w:rsidR="004E3A51" w:rsidRPr="00F8741C">
        <w:t>diverse</w:t>
      </w:r>
      <w:r w:rsidR="00F7641E" w:rsidRPr="00F8741C">
        <w:t xml:space="preserve"> approach</w:t>
      </w:r>
      <w:r w:rsidR="004E3A51" w:rsidRPr="00F8741C">
        <w:t>es</w:t>
      </w:r>
      <w:r w:rsidR="00F7641E" w:rsidRPr="00F8741C">
        <w:t xml:space="preserve"> </w:t>
      </w:r>
      <w:r w:rsidR="008B2E31" w:rsidRPr="00F8741C">
        <w:t>emerged among</w:t>
      </w:r>
      <w:r w:rsidR="00F7641E" w:rsidRPr="00F8741C">
        <w:t xml:space="preserve"> DPAs</w:t>
      </w:r>
      <w:r w:rsidR="004E3A51" w:rsidRPr="00F8741C">
        <w:t xml:space="preserve"> in terms of their </w:t>
      </w:r>
      <w:r w:rsidR="00F7641E" w:rsidRPr="00F8741C">
        <w:t xml:space="preserve">tasks and powers </w:t>
      </w:r>
      <w:r w:rsidR="00F90316" w:rsidRPr="00F8741C">
        <w:t>as a result of</w:t>
      </w:r>
      <w:r w:rsidR="00F7641E" w:rsidRPr="00F8741C">
        <w:t xml:space="preserve"> ‘history, case law, culture and the internal organization of the Member States’</w:t>
      </w:r>
      <w:r w:rsidR="00AB62D7" w:rsidRPr="00F8741C">
        <w:t>.</w:t>
      </w:r>
      <w:r w:rsidR="00AB62D7" w:rsidRPr="00F8741C">
        <w:rPr>
          <w:rStyle w:val="FootnoteReference"/>
        </w:rPr>
        <w:footnoteReference w:id="16"/>
      </w:r>
    </w:p>
    <w:p w14:paraId="5E1333A4" w14:textId="0E5E6F91" w:rsidR="008960A5" w:rsidRPr="00F8741C" w:rsidRDefault="00AA0F98" w:rsidP="00704AE7">
      <w:r>
        <w:t>T</w:t>
      </w:r>
      <w:r w:rsidR="008B2E31" w:rsidRPr="00F8741C">
        <w:t>he</w:t>
      </w:r>
      <w:r w:rsidR="00200C12" w:rsidRPr="00F8741C">
        <w:t xml:space="preserve"> </w:t>
      </w:r>
      <w:r w:rsidR="00A66F7F" w:rsidRPr="00F8741C">
        <w:t>adoption of the GDPR</w:t>
      </w:r>
      <w:r w:rsidR="008B2E31" w:rsidRPr="00F8741C">
        <w:t xml:space="preserve"> </w:t>
      </w:r>
      <w:r w:rsidR="00300AC0">
        <w:t>was intended</w:t>
      </w:r>
      <w:r w:rsidR="00300AC0" w:rsidRPr="00F8741C">
        <w:t xml:space="preserve"> </w:t>
      </w:r>
      <w:r w:rsidR="008B2E31" w:rsidRPr="00F8741C">
        <w:t>to</w:t>
      </w:r>
      <w:r w:rsidR="00651308" w:rsidRPr="00F8741C">
        <w:t xml:space="preserve"> </w:t>
      </w:r>
      <w:r w:rsidR="00F90316" w:rsidRPr="00F8741C">
        <w:t>reduce</w:t>
      </w:r>
      <w:r w:rsidR="00651308" w:rsidRPr="00F8741C">
        <w:t xml:space="preserve"> such divers</w:t>
      </w:r>
      <w:r w:rsidR="00F90316" w:rsidRPr="00F8741C">
        <w:t>ity and</w:t>
      </w:r>
      <w:r w:rsidR="00651308" w:rsidRPr="00F8741C">
        <w:t xml:space="preserve"> </w:t>
      </w:r>
      <w:r w:rsidR="008B2E31" w:rsidRPr="00F8741C">
        <w:t>increase harmonisation among DPAs enforcement practices in two ways.</w:t>
      </w:r>
      <w:r w:rsidR="00F90316" w:rsidRPr="00F8741C">
        <w:t xml:space="preserve"> </w:t>
      </w:r>
      <w:r w:rsidR="00651308" w:rsidRPr="00F8741C">
        <w:t>First,</w:t>
      </w:r>
      <w:r w:rsidR="00F90316" w:rsidRPr="00F8741C">
        <w:t xml:space="preserve"> </w:t>
      </w:r>
      <w:r w:rsidR="00651308" w:rsidRPr="00F8741C">
        <w:t xml:space="preserve">it aimed </w:t>
      </w:r>
      <w:r w:rsidR="008728FA">
        <w:t>to ensure</w:t>
      </w:r>
      <w:r w:rsidR="008728FA" w:rsidRPr="00F8741C">
        <w:t xml:space="preserve"> </w:t>
      </w:r>
      <w:r w:rsidR="00F90316" w:rsidRPr="00F8741C">
        <w:t>the ‘complete independence’</w:t>
      </w:r>
      <w:r w:rsidR="008960A5" w:rsidRPr="00F8741C">
        <w:t xml:space="preserve"> of DPAs and the allocation of appropriate funds</w:t>
      </w:r>
      <w:r w:rsidR="00F90316" w:rsidRPr="00F8741C">
        <w:t xml:space="preserve"> </w:t>
      </w:r>
      <w:r w:rsidR="008960A5" w:rsidRPr="00F8741C">
        <w:t>for them</w:t>
      </w:r>
      <w:r w:rsidR="00ED35AD" w:rsidRPr="00F8741C">
        <w:t xml:space="preserve"> to carry out their duties</w:t>
      </w:r>
      <w:r w:rsidR="00AB62D7" w:rsidRPr="00F8741C">
        <w:t>.</w:t>
      </w:r>
      <w:r w:rsidR="00AB62D7" w:rsidRPr="00F8741C">
        <w:rPr>
          <w:rStyle w:val="FootnoteReference"/>
        </w:rPr>
        <w:footnoteReference w:id="17"/>
      </w:r>
      <w:r w:rsidR="00F90316" w:rsidRPr="00F8741C">
        <w:t xml:space="preserve"> While many differences across national DPAs remain, in terms of their size</w:t>
      </w:r>
      <w:r w:rsidR="00AB62D7" w:rsidRPr="00F8741C">
        <w:t xml:space="preserve"> and the rigour of their investigations</w:t>
      </w:r>
      <w:r w:rsidR="00F90316" w:rsidRPr="00F8741C">
        <w:t>, they should</w:t>
      </w:r>
      <w:r w:rsidR="008960A5" w:rsidRPr="00F8741C">
        <w:t xml:space="preserve"> </w:t>
      </w:r>
      <w:r w:rsidR="00835C46">
        <w:t>now have</w:t>
      </w:r>
      <w:r w:rsidR="008960A5" w:rsidRPr="00F8741C">
        <w:t xml:space="preserve"> better </w:t>
      </w:r>
      <w:r w:rsidR="00F90316" w:rsidRPr="00F8741C">
        <w:t>capacity to enforce EU data protection framework to the full extent.</w:t>
      </w:r>
      <w:r w:rsidR="00F90316" w:rsidRPr="00F8741C">
        <w:rPr>
          <w:rStyle w:val="FootnoteReference"/>
        </w:rPr>
        <w:footnoteReference w:id="18"/>
      </w:r>
      <w:r w:rsidR="008960A5" w:rsidRPr="00F8741C">
        <w:t xml:space="preserve"> Second,</w:t>
      </w:r>
      <w:r w:rsidR="00A66F7F" w:rsidRPr="00F8741C">
        <w:t xml:space="preserve"> </w:t>
      </w:r>
      <w:r w:rsidR="00200C12" w:rsidRPr="00F8741C">
        <w:t>by making</w:t>
      </w:r>
      <w:r w:rsidR="00A66F7F" w:rsidRPr="00F8741C">
        <w:t xml:space="preserve"> the awareness raising duty</w:t>
      </w:r>
      <w:r w:rsidR="00200C12" w:rsidRPr="00F8741C">
        <w:t xml:space="preserve"> explicit</w:t>
      </w:r>
      <w:r w:rsidR="0072155D" w:rsidRPr="00F8741C">
        <w:t xml:space="preserve"> and by providing for a possibility of </w:t>
      </w:r>
      <w:r w:rsidR="00AE42B9">
        <w:t xml:space="preserve">significant </w:t>
      </w:r>
      <w:r w:rsidR="003851B3">
        <w:t>fines</w:t>
      </w:r>
      <w:r w:rsidR="00200C12" w:rsidRPr="00F8741C">
        <w:t>,</w:t>
      </w:r>
      <w:r w:rsidR="008960A5" w:rsidRPr="00F8741C">
        <w:t xml:space="preserve"> the </w:t>
      </w:r>
      <w:r w:rsidR="004C000F">
        <w:t xml:space="preserve">EU </w:t>
      </w:r>
      <w:r w:rsidR="008960A5" w:rsidRPr="00F8741C">
        <w:t>legislator</w:t>
      </w:r>
      <w:r w:rsidR="00200C12" w:rsidRPr="00F8741C">
        <w:t xml:space="preserve"> </w:t>
      </w:r>
      <w:r w:rsidR="004E3A51" w:rsidRPr="00F8741C">
        <w:t>has</w:t>
      </w:r>
      <w:r w:rsidR="00200C12" w:rsidRPr="00F8741C">
        <w:t xml:space="preserve"> potentially tilt</w:t>
      </w:r>
      <w:r w:rsidR="004E3A51" w:rsidRPr="00F8741C">
        <w:t>ed</w:t>
      </w:r>
      <w:r w:rsidR="00200C12" w:rsidRPr="00F8741C">
        <w:t xml:space="preserve"> the </w:t>
      </w:r>
      <w:r w:rsidR="00502E13" w:rsidRPr="00F8741C">
        <w:t xml:space="preserve">governance </w:t>
      </w:r>
      <w:r w:rsidR="00200C12" w:rsidRPr="00F8741C">
        <w:t xml:space="preserve">scale </w:t>
      </w:r>
      <w:r w:rsidR="00AB62D7" w:rsidRPr="00F8741C">
        <w:t>which may</w:t>
      </w:r>
      <w:r w:rsidR="00502E13" w:rsidRPr="00F8741C">
        <w:t xml:space="preserve"> result in</w:t>
      </w:r>
      <w:r w:rsidR="00200C12" w:rsidRPr="00F8741C">
        <w:t xml:space="preserve"> more balanced enforcement strategies of DPAs.</w:t>
      </w:r>
      <w:r w:rsidR="003851B3">
        <w:rPr>
          <w:rStyle w:val="FootnoteReference"/>
        </w:rPr>
        <w:footnoteReference w:id="19"/>
      </w:r>
      <w:r w:rsidR="00200C12" w:rsidRPr="00F8741C">
        <w:t xml:space="preserve"> Such strategies </w:t>
      </w:r>
      <w:r w:rsidR="00502E13" w:rsidRPr="00F8741C">
        <w:t>sh</w:t>
      </w:r>
      <w:r w:rsidR="00200C12" w:rsidRPr="00F8741C">
        <w:t xml:space="preserve">ould represent an equilibrium between </w:t>
      </w:r>
      <w:r w:rsidR="0072155D" w:rsidRPr="00F8741C">
        <w:t xml:space="preserve">hypothetical constructs of </w:t>
      </w:r>
      <w:r w:rsidR="00200C12" w:rsidRPr="00F8741C">
        <w:t xml:space="preserve">‘deterrence’ and </w:t>
      </w:r>
      <w:r w:rsidR="0072155D" w:rsidRPr="00F8741C">
        <w:t>‘compliance’ (also referred to as ‘advise and persuade’) enforcement strategies</w:t>
      </w:r>
      <w:r w:rsidR="00F7641E" w:rsidRPr="00F8741C">
        <w:t xml:space="preserve"> that rarely exist in their pure form</w:t>
      </w:r>
      <w:r w:rsidR="0072155D" w:rsidRPr="00F8741C">
        <w:t>.</w:t>
      </w:r>
      <w:r w:rsidR="00F7641E" w:rsidRPr="00F8741C">
        <w:rPr>
          <w:rStyle w:val="FootnoteReference"/>
        </w:rPr>
        <w:footnoteReference w:id="20"/>
      </w:r>
      <w:r w:rsidR="0072155D" w:rsidRPr="00F8741C">
        <w:t xml:space="preserve"> Awareness raising duties </w:t>
      </w:r>
      <w:r w:rsidR="00921B0D">
        <w:t>mostly</w:t>
      </w:r>
      <w:r w:rsidR="00921B0D" w:rsidRPr="00F8741C">
        <w:t xml:space="preserve"> </w:t>
      </w:r>
      <w:r w:rsidR="0072155D" w:rsidRPr="00F8741C">
        <w:t xml:space="preserve">fall within the scope of the </w:t>
      </w:r>
      <w:r w:rsidR="00ED35AD" w:rsidRPr="00F8741C">
        <w:t xml:space="preserve">latter - </w:t>
      </w:r>
      <w:r w:rsidR="0072155D" w:rsidRPr="00F8741C">
        <w:t>‘compliance’</w:t>
      </w:r>
      <w:r w:rsidR="003851B3">
        <w:t xml:space="preserve"> </w:t>
      </w:r>
      <w:r w:rsidR="0072155D" w:rsidRPr="00F8741C">
        <w:t xml:space="preserve"> strateg</w:t>
      </w:r>
      <w:r w:rsidR="004E3A51" w:rsidRPr="00F8741C">
        <w:t>ies</w:t>
      </w:r>
      <w:r w:rsidR="00ED35AD" w:rsidRPr="00F8741C">
        <w:t xml:space="preserve"> -</w:t>
      </w:r>
      <w:r w:rsidR="0072155D" w:rsidRPr="00F8741C">
        <w:t xml:space="preserve"> as </w:t>
      </w:r>
      <w:r w:rsidR="004E3A51" w:rsidRPr="00F8741C">
        <w:t>they typically</w:t>
      </w:r>
      <w:r w:rsidR="0072155D" w:rsidRPr="00F8741C">
        <w:t xml:space="preserve"> seek to prevent harm</w:t>
      </w:r>
      <w:r w:rsidR="00502E13" w:rsidRPr="00F8741C">
        <w:t xml:space="preserve"> and damage</w:t>
      </w:r>
      <w:r w:rsidR="0072155D" w:rsidRPr="00F8741C">
        <w:t xml:space="preserve"> from occurring</w:t>
      </w:r>
      <w:r w:rsidR="004E3A51" w:rsidRPr="00F8741C">
        <w:t xml:space="preserve">; whereas </w:t>
      </w:r>
      <w:r w:rsidR="0072155D" w:rsidRPr="00F8741C">
        <w:t>the ‘deterrence’ style enforcement</w:t>
      </w:r>
      <w:r w:rsidR="00F7641E" w:rsidRPr="00F8741C">
        <w:t xml:space="preserve"> entail</w:t>
      </w:r>
      <w:r w:rsidR="004E3A51" w:rsidRPr="00F8741C">
        <w:t>s issuing</w:t>
      </w:r>
      <w:r w:rsidR="00F7641E" w:rsidRPr="00F8741C">
        <w:t xml:space="preserve"> fines and sanctions for not complying with the regulation.</w:t>
      </w:r>
      <w:r w:rsidR="00AB62D7" w:rsidRPr="00F8741C">
        <w:rPr>
          <w:rStyle w:val="FootnoteReference"/>
        </w:rPr>
        <w:footnoteReference w:id="21"/>
      </w:r>
      <w:r w:rsidR="0072155D" w:rsidRPr="00F8741C">
        <w:t xml:space="preserve"> </w:t>
      </w:r>
      <w:r w:rsidR="00755913">
        <w:t xml:space="preserve">Even </w:t>
      </w:r>
      <w:r w:rsidR="00750163">
        <w:t>i</w:t>
      </w:r>
      <w:r w:rsidR="00921B0D">
        <w:t xml:space="preserve">n this in this latter mode, deterrence requires </w:t>
      </w:r>
      <w:r w:rsidR="002445B7">
        <w:t>the regulated be aware of the possibility of enforcement.</w:t>
      </w:r>
      <w:r w:rsidR="007652DE">
        <w:t xml:space="preserve"> </w:t>
      </w:r>
    </w:p>
    <w:p w14:paraId="292CBC1E" w14:textId="29D4B585" w:rsidR="00704AE7" w:rsidRPr="00F8741C" w:rsidRDefault="0033546C" w:rsidP="00704AE7">
      <w:r>
        <w:t>I</w:t>
      </w:r>
      <w:r w:rsidR="008960A5" w:rsidRPr="00F8741C">
        <w:t xml:space="preserve">n practice </w:t>
      </w:r>
      <w:r w:rsidR="00076D88">
        <w:t>t</w:t>
      </w:r>
      <w:r w:rsidRPr="00F8741C">
        <w:t xml:space="preserve">his </w:t>
      </w:r>
      <w:r w:rsidR="008960A5" w:rsidRPr="00F8741C">
        <w:t xml:space="preserve">means </w:t>
      </w:r>
      <w:r w:rsidR="00502E13" w:rsidRPr="00F8741C">
        <w:t xml:space="preserve">formalising </w:t>
      </w:r>
      <w:r w:rsidR="00704AE7" w:rsidRPr="00F8741C">
        <w:t>awareness raising duties</w:t>
      </w:r>
      <w:r w:rsidR="008960A5" w:rsidRPr="00F8741C">
        <w:t xml:space="preserve"> of DPAs</w:t>
      </w:r>
      <w:r w:rsidR="00704AE7" w:rsidRPr="00F8741C">
        <w:t xml:space="preserve"> could be </w:t>
      </w:r>
      <w:r w:rsidR="00502E13" w:rsidRPr="00F8741C">
        <w:t>seen as an attempt</w:t>
      </w:r>
      <w:r w:rsidR="00704AE7" w:rsidRPr="00F8741C">
        <w:t xml:space="preserve"> to ensure that </w:t>
      </w:r>
      <w:r w:rsidR="00502E13" w:rsidRPr="00F8741C">
        <w:t>regulators can enforce</w:t>
      </w:r>
      <w:r w:rsidR="00704AE7" w:rsidRPr="00F8741C">
        <w:t xml:space="preserve"> the</w:t>
      </w:r>
      <w:r w:rsidR="00502E13" w:rsidRPr="00F8741C">
        <w:t xml:space="preserve"> applicable</w:t>
      </w:r>
      <w:r w:rsidR="00704AE7" w:rsidRPr="00F8741C">
        <w:t xml:space="preserve"> framework </w:t>
      </w:r>
      <w:r w:rsidR="00502E13" w:rsidRPr="00F8741C">
        <w:t>‘</w:t>
      </w:r>
      <w:r w:rsidR="00704AE7" w:rsidRPr="00F8741C">
        <w:t xml:space="preserve">in </w:t>
      </w:r>
      <w:r w:rsidR="00502E13" w:rsidRPr="00F8741C">
        <w:t>a more uniform and</w:t>
      </w:r>
      <w:r w:rsidR="00704AE7" w:rsidRPr="00F8741C">
        <w:t xml:space="preserve"> effective way</w:t>
      </w:r>
      <w:r w:rsidR="00502E13" w:rsidRPr="00F8741C">
        <w:t>’</w:t>
      </w:r>
      <w:r w:rsidR="008960A5" w:rsidRPr="00F8741C">
        <w:t xml:space="preserve"> and</w:t>
      </w:r>
      <w:r w:rsidR="001062D6">
        <w:t xml:space="preserve"> in</w:t>
      </w:r>
      <w:r w:rsidR="008960A5" w:rsidRPr="00F8741C">
        <w:t xml:space="preserve"> a way update enforcement practices of DPAs</w:t>
      </w:r>
      <w:r w:rsidR="00704AE7" w:rsidRPr="00F8741C">
        <w:t>.</w:t>
      </w:r>
      <w:r w:rsidR="00DD0156" w:rsidRPr="00F8741C">
        <w:rPr>
          <w:rStyle w:val="FootnoteReference"/>
        </w:rPr>
        <w:footnoteReference w:id="22"/>
      </w:r>
      <w:r w:rsidR="008960A5" w:rsidRPr="00F8741C">
        <w:t xml:space="preserve"> This being said, it should be added that w</w:t>
      </w:r>
      <w:r w:rsidR="004E3A51" w:rsidRPr="00F8741C">
        <w:t>hile a</w:t>
      </w:r>
      <w:r w:rsidR="00A74540" w:rsidRPr="00F8741C">
        <w:t xml:space="preserve">wareness raising duties constitute only part of DPAs tasks, </w:t>
      </w:r>
      <w:r w:rsidR="004E3A51" w:rsidRPr="00F8741C">
        <w:t>they</w:t>
      </w:r>
      <w:r w:rsidR="00A74540" w:rsidRPr="00F8741C">
        <w:t xml:space="preserve"> cannot be </w:t>
      </w:r>
      <w:r w:rsidR="008960A5" w:rsidRPr="00F8741C">
        <w:t xml:space="preserve">considered in isolation </w:t>
      </w:r>
      <w:r w:rsidR="00A74540" w:rsidRPr="00F8741C">
        <w:lastRenderedPageBreak/>
        <w:t>fro</w:t>
      </w:r>
      <w:r w:rsidR="008960A5" w:rsidRPr="00F8741C">
        <w:t>m</w:t>
      </w:r>
      <w:r w:rsidR="00A74540" w:rsidRPr="00F8741C">
        <w:t xml:space="preserve"> other tasks foreseen in the GDPR. </w:t>
      </w:r>
      <w:r w:rsidR="00657079" w:rsidRPr="00F8741C">
        <w:t>Awareness raising has</w:t>
      </w:r>
      <w:r w:rsidR="00502E13" w:rsidRPr="00F8741C">
        <w:t xml:space="preserve"> a direct bearing on how the ones who are regulated cope with applicable rules and</w:t>
      </w:r>
      <w:r w:rsidR="00ED35AD" w:rsidRPr="00F8741C">
        <w:t xml:space="preserve"> it</w:t>
      </w:r>
      <w:r w:rsidR="00502E13" w:rsidRPr="00F8741C">
        <w:t xml:space="preserve"> also affect</w:t>
      </w:r>
      <w:r w:rsidR="00ED35AD" w:rsidRPr="00F8741C">
        <w:t>s</w:t>
      </w:r>
      <w:r w:rsidR="00502E13" w:rsidRPr="00F8741C">
        <w:t xml:space="preserve"> </w:t>
      </w:r>
      <w:r w:rsidR="008B2E31" w:rsidRPr="00F8741C">
        <w:t>enforcement</w:t>
      </w:r>
      <w:r w:rsidR="00ED35AD" w:rsidRPr="00F8741C">
        <w:t xml:space="preserve"> claims brought by</w:t>
      </w:r>
      <w:r w:rsidR="008B2E31" w:rsidRPr="00F8741C">
        <w:t xml:space="preserve"> individuals. </w:t>
      </w:r>
    </w:p>
    <w:p w14:paraId="51A45EBE" w14:textId="12F10B28" w:rsidR="00AA2023" w:rsidRPr="00F8741C" w:rsidRDefault="00AA2023" w:rsidP="00AA2023">
      <w:pPr>
        <w:rPr>
          <w:rFonts w:asciiTheme="majorHAnsi" w:hAnsiTheme="majorHAnsi" w:cstheme="majorHAnsi"/>
          <w:b/>
          <w:sz w:val="26"/>
          <w:szCs w:val="26"/>
        </w:rPr>
      </w:pPr>
    </w:p>
    <w:p w14:paraId="4871E77B" w14:textId="765E593B" w:rsidR="001D0FD2" w:rsidRPr="00F8741C" w:rsidRDefault="00AA2023" w:rsidP="001D0FD2">
      <w:pPr>
        <w:rPr>
          <w:rFonts w:asciiTheme="majorHAnsi" w:hAnsiTheme="majorHAnsi" w:cstheme="majorHAnsi"/>
          <w:b/>
          <w:sz w:val="26"/>
          <w:szCs w:val="26"/>
        </w:rPr>
      </w:pPr>
      <w:r w:rsidRPr="00F8741C">
        <w:rPr>
          <w:rFonts w:asciiTheme="majorHAnsi" w:hAnsiTheme="majorHAnsi" w:cstheme="majorHAnsi"/>
          <w:b/>
          <w:sz w:val="26"/>
          <w:szCs w:val="26"/>
        </w:rPr>
        <w:t xml:space="preserve">Scoping awareness raising duties </w:t>
      </w:r>
      <w:r w:rsidR="009C64F9" w:rsidRPr="00F8741C">
        <w:rPr>
          <w:rFonts w:asciiTheme="majorHAnsi" w:hAnsiTheme="majorHAnsi" w:cstheme="majorHAnsi"/>
          <w:b/>
          <w:sz w:val="26"/>
          <w:szCs w:val="26"/>
        </w:rPr>
        <w:t>to SMEs</w:t>
      </w:r>
    </w:p>
    <w:p w14:paraId="6E284426" w14:textId="76AB97F3" w:rsidR="00CA3E36" w:rsidRPr="00F8741C" w:rsidRDefault="001D0FD2" w:rsidP="009C64F9">
      <w:r w:rsidRPr="00F8741C">
        <w:t xml:space="preserve">Awareness </w:t>
      </w:r>
      <w:r w:rsidR="0097653B" w:rsidRPr="00F8741C">
        <w:t xml:space="preserve">raising </w:t>
      </w:r>
      <w:r w:rsidRPr="00F8741C">
        <w:t>duties of DPAs</w:t>
      </w:r>
      <w:r w:rsidR="00ED35AD" w:rsidRPr="00F8741C">
        <w:t xml:space="preserve"> under the GDPR</w:t>
      </w:r>
      <w:r w:rsidRPr="00F8741C">
        <w:t xml:space="preserve"> can be divided into </w:t>
      </w:r>
      <w:r w:rsidR="00876448" w:rsidRPr="00F8741C">
        <w:t>two</w:t>
      </w:r>
      <w:r w:rsidRPr="00F8741C">
        <w:t xml:space="preserve"> </w:t>
      </w:r>
      <w:r w:rsidR="00EE70A4">
        <w:t>categories</w:t>
      </w:r>
      <w:r w:rsidR="00D17188" w:rsidRPr="00F8741C">
        <w:t xml:space="preserve"> </w:t>
      </w:r>
      <w:r w:rsidRPr="00F8741C">
        <w:t xml:space="preserve">following the rationale embedded in Article 57.1. The first group </w:t>
      </w:r>
      <w:r w:rsidR="00876448" w:rsidRPr="00F8741C">
        <w:t>includes</w:t>
      </w:r>
      <w:r w:rsidRPr="00F8741C">
        <w:t xml:space="preserve"> the DPAs</w:t>
      </w:r>
      <w:r w:rsidR="00281D63">
        <w:t>’</w:t>
      </w:r>
      <w:r w:rsidRPr="00F8741C">
        <w:t xml:space="preserve"> obligation to ‘promote public awareness and understanding of the risks, rules, safeguards and rights in relation to processing</w:t>
      </w:r>
      <w:r w:rsidR="00876448" w:rsidRPr="00F8741C">
        <w:t>’</w:t>
      </w:r>
      <w:r w:rsidRPr="00F8741C">
        <w:t>,</w:t>
      </w:r>
      <w:r w:rsidRPr="00F8741C">
        <w:rPr>
          <w:rStyle w:val="FootnoteReference"/>
        </w:rPr>
        <w:footnoteReference w:id="23"/>
      </w:r>
      <w:r w:rsidRPr="00F8741C">
        <w:t xml:space="preserve"> whereas the second group</w:t>
      </w:r>
      <w:r w:rsidR="00876448" w:rsidRPr="00F8741C">
        <w:t xml:space="preserve"> requires regulators to engage in activities furthering</w:t>
      </w:r>
      <w:r w:rsidRPr="00F8741C">
        <w:t xml:space="preserve"> </w:t>
      </w:r>
      <w:r w:rsidR="00876448" w:rsidRPr="00F8741C">
        <w:t>‘</w:t>
      </w:r>
      <w:r w:rsidRPr="00F8741C">
        <w:t>the awareness of controllers and processors of their obligations</w:t>
      </w:r>
      <w:r w:rsidR="00876448" w:rsidRPr="00F8741C">
        <w:t>’.</w:t>
      </w:r>
      <w:r w:rsidR="00876448" w:rsidRPr="00F8741C">
        <w:rPr>
          <w:rStyle w:val="FootnoteReference"/>
        </w:rPr>
        <w:footnoteReference w:id="24"/>
      </w:r>
      <w:r w:rsidR="00ED35AD" w:rsidRPr="00F8741C">
        <w:t xml:space="preserve"> </w:t>
      </w:r>
      <w:r w:rsidR="00CA3E36" w:rsidRPr="00F8741C">
        <w:t>Recognising that there are great differences in compliance capacity of controllers and processors</w:t>
      </w:r>
      <w:r w:rsidR="0097653B" w:rsidRPr="00F8741C">
        <w:t xml:space="preserve"> to whom the GDPR applies</w:t>
      </w:r>
      <w:r w:rsidR="00CA3E36" w:rsidRPr="00F8741C">
        <w:t>, t</w:t>
      </w:r>
      <w:r w:rsidR="00876448" w:rsidRPr="00F8741C">
        <w:t xml:space="preserve">he obligation to raise awareness among </w:t>
      </w:r>
      <w:r w:rsidR="00CA3E36" w:rsidRPr="00F8741C">
        <w:t xml:space="preserve">them </w:t>
      </w:r>
      <w:r w:rsidR="00876448" w:rsidRPr="00F8741C">
        <w:t xml:space="preserve">should be considered in light of Recital </w:t>
      </w:r>
      <w:r w:rsidR="00AF6750" w:rsidRPr="00F8741C">
        <w:t>132</w:t>
      </w:r>
      <w:r w:rsidR="00CA3E36" w:rsidRPr="00F8741C">
        <w:t>.</w:t>
      </w:r>
      <w:r w:rsidR="00BB23FA" w:rsidRPr="00F8741C">
        <w:rPr>
          <w:rStyle w:val="FootnoteReference"/>
        </w:rPr>
        <w:footnoteReference w:id="25"/>
      </w:r>
      <w:r w:rsidR="00CA3E36" w:rsidRPr="00F8741C">
        <w:t xml:space="preserve"> The Recital</w:t>
      </w:r>
      <w:r w:rsidR="00876448" w:rsidRPr="00F8741C">
        <w:t xml:space="preserve"> notes that such awareness efforts ‘</w:t>
      </w:r>
      <w:r w:rsidR="00AF6750" w:rsidRPr="00F8741C">
        <w:t>should include specific measures directed at controllers and processors, including micro, small and medium-sized enterprises, as well as natural persons in particular in the educational context</w:t>
      </w:r>
      <w:r w:rsidR="00876448" w:rsidRPr="00F8741C">
        <w:t>’</w:t>
      </w:r>
      <w:r w:rsidR="00AF6750" w:rsidRPr="00F8741C">
        <w:t>.</w:t>
      </w:r>
      <w:r w:rsidR="0039352E" w:rsidRPr="00F8741C">
        <w:t xml:space="preserve"> </w:t>
      </w:r>
      <w:r w:rsidR="00CA3E36" w:rsidRPr="00F8741C">
        <w:t>Requiring DPAs to focus on SMEs as a specific target group of awareness raising campaigns should not come as a surprise because SMEs constitute the backbone of European economy</w:t>
      </w:r>
      <w:r w:rsidR="00860744" w:rsidRPr="00F8741C">
        <w:t xml:space="preserve"> and their roles is continuously reaffirmed by the European Commission reports</w:t>
      </w:r>
      <w:r w:rsidR="00CA3E36" w:rsidRPr="00F8741C">
        <w:t>.</w:t>
      </w:r>
      <w:r w:rsidR="00CA3E36" w:rsidRPr="00F8741C">
        <w:rPr>
          <w:rStyle w:val="FootnoteReference"/>
        </w:rPr>
        <w:footnoteReference w:id="26"/>
      </w:r>
      <w:r w:rsidR="00CA3E36" w:rsidRPr="00F8741C">
        <w:t xml:space="preserve"> At the same time, for the</w:t>
      </w:r>
      <w:r w:rsidR="003D6211" w:rsidRPr="00F8741C">
        <w:t xml:space="preserve">se enterprises </w:t>
      </w:r>
      <w:r w:rsidR="00CA3E36" w:rsidRPr="00F8741C">
        <w:t>compliance with the GDPR, poses distinctive challenges – apart from lack of awareness, they rarely can afford professional legal advice</w:t>
      </w:r>
      <w:r w:rsidR="00DE37A3">
        <w:t xml:space="preserve">, and revising existing practices is </w:t>
      </w:r>
      <w:r w:rsidR="005B0B81">
        <w:t>often</w:t>
      </w:r>
      <w:r w:rsidR="00DE37A3">
        <w:t xml:space="preserve"> time consuming</w:t>
      </w:r>
      <w:r w:rsidR="00CA3E36" w:rsidRPr="00F8741C">
        <w:t>.</w:t>
      </w:r>
      <w:r w:rsidR="002E79BD">
        <w:rPr>
          <w:rStyle w:val="FootnoteReference"/>
        </w:rPr>
        <w:footnoteReference w:id="27"/>
      </w:r>
      <w:r w:rsidR="00CA3E36" w:rsidRPr="00F8741C">
        <w:t xml:space="preserve"> </w:t>
      </w:r>
    </w:p>
    <w:p w14:paraId="7F95F129" w14:textId="3D30DF40" w:rsidR="002A02D8" w:rsidRPr="00F8741C" w:rsidRDefault="0039352E" w:rsidP="009C64F9">
      <w:r w:rsidRPr="00F8741C">
        <w:t xml:space="preserve">Interpretation of what awareness raising duties entail is at the discretion of DPAs. </w:t>
      </w:r>
      <w:r w:rsidR="00876448" w:rsidRPr="00F8741C">
        <w:t>The GDPR does not list what</w:t>
      </w:r>
      <w:r w:rsidR="002A02D8" w:rsidRPr="00F8741C">
        <w:t xml:space="preserve"> actions and activities</w:t>
      </w:r>
      <w:r w:rsidR="00876448" w:rsidRPr="00F8741C">
        <w:t xml:space="preserve"> would be deemed to be part of awareness raising duties. </w:t>
      </w:r>
      <w:r w:rsidR="002A02D8" w:rsidRPr="00F8741C">
        <w:t>V</w:t>
      </w:r>
      <w:r w:rsidR="00876448" w:rsidRPr="00F8741C">
        <w:t xml:space="preserve">arious </w:t>
      </w:r>
      <w:r w:rsidR="002A02D8" w:rsidRPr="00F8741C">
        <w:t xml:space="preserve">examples of </w:t>
      </w:r>
      <w:r w:rsidR="00876448" w:rsidRPr="00F8741C">
        <w:t>activities</w:t>
      </w:r>
      <w:r w:rsidR="002A02D8" w:rsidRPr="00F8741C">
        <w:t xml:space="preserve"> that could</w:t>
      </w:r>
      <w:r w:rsidR="00876448" w:rsidRPr="00F8741C">
        <w:t xml:space="preserve"> fall within the scope of such duties</w:t>
      </w:r>
      <w:r w:rsidR="002A02D8" w:rsidRPr="00F8741C">
        <w:t xml:space="preserve"> </w:t>
      </w:r>
      <w:r w:rsidR="009D792D">
        <w:t>ba</w:t>
      </w:r>
      <w:r w:rsidR="00E8537E">
        <w:t xml:space="preserve">sed upon general communications practice </w:t>
      </w:r>
      <w:r w:rsidR="002A02D8" w:rsidRPr="00F8741C">
        <w:t>may include but are not limited to ‘issuing press releases, briefings and commentaries; disseminating reports, studies and publications; […] working with the media; holding public meetings and events; convening conferences and workshops; and creating and contributing to educational materials’.</w:t>
      </w:r>
      <w:r w:rsidR="002A02D8" w:rsidRPr="00F8741C">
        <w:rPr>
          <w:rStyle w:val="FootnoteReference"/>
        </w:rPr>
        <w:footnoteReference w:id="28"/>
      </w:r>
      <w:r w:rsidR="002A02D8" w:rsidRPr="00F8741C">
        <w:t xml:space="preserve"> </w:t>
      </w:r>
      <w:r w:rsidRPr="00F8741C">
        <w:t>Such activities can be communicated through different mediums.</w:t>
      </w:r>
    </w:p>
    <w:p w14:paraId="6B4F0314" w14:textId="4AE01562" w:rsidR="00951453" w:rsidRPr="00F8741C" w:rsidRDefault="002A02D8" w:rsidP="009C64F9">
      <w:r w:rsidRPr="00F8741C">
        <w:t xml:space="preserve">During the interviews with 18 DPAs we found that </w:t>
      </w:r>
      <w:r w:rsidR="00F35884" w:rsidRPr="00F8741C">
        <w:t>mediums through w</w:t>
      </w:r>
      <w:r w:rsidR="00E32B84" w:rsidRPr="00F8741C">
        <w:t xml:space="preserve">hich awareness raising activities are communicated </w:t>
      </w:r>
      <w:r w:rsidRPr="00F8741C">
        <w:t xml:space="preserve">range </w:t>
      </w:r>
      <w:r w:rsidR="00E32B84" w:rsidRPr="00F8741C">
        <w:t>from traditional</w:t>
      </w:r>
      <w:r w:rsidRPr="00F8741C">
        <w:t xml:space="preserve"> tools such as radio, television,</w:t>
      </w:r>
      <w:r w:rsidR="00E32B84" w:rsidRPr="00F8741C">
        <w:t xml:space="preserve"> print media,</w:t>
      </w:r>
      <w:r w:rsidRPr="00F8741C">
        <w:t xml:space="preserve"> video</w:t>
      </w:r>
      <w:r w:rsidR="00E32B84" w:rsidRPr="00F8741C">
        <w:t xml:space="preserve"> to</w:t>
      </w:r>
      <w:r w:rsidRPr="00F8741C">
        <w:t xml:space="preserve"> the</w:t>
      </w:r>
      <w:r w:rsidR="00E32B84" w:rsidRPr="00F8741C">
        <w:t xml:space="preserve"> use of</w:t>
      </w:r>
      <w:r w:rsidRPr="00F8741C">
        <w:t xml:space="preserve"> internet</w:t>
      </w:r>
      <w:r w:rsidR="00E32B84" w:rsidRPr="00F8741C">
        <w:t xml:space="preserve"> websites, dedicated</w:t>
      </w:r>
      <w:r w:rsidRPr="00F8741C">
        <w:t xml:space="preserve"> social media</w:t>
      </w:r>
      <w:r w:rsidR="00E32B84" w:rsidRPr="00F8741C">
        <w:t xml:space="preserve"> accounts</w:t>
      </w:r>
      <w:r w:rsidR="003D6211" w:rsidRPr="00F8741C">
        <w:t xml:space="preserve"> and engagement of influencers</w:t>
      </w:r>
      <w:r w:rsidR="00E32B84" w:rsidRPr="00F8741C">
        <w:t>.</w:t>
      </w:r>
      <w:r w:rsidR="00E32B84" w:rsidRPr="00F8741C">
        <w:rPr>
          <w:rStyle w:val="FootnoteReference"/>
        </w:rPr>
        <w:footnoteReference w:id="29"/>
      </w:r>
      <w:r w:rsidR="00E32B84" w:rsidRPr="00F8741C">
        <w:t xml:space="preserve"> </w:t>
      </w:r>
      <w:r w:rsidR="0039352E" w:rsidRPr="00F8741C">
        <w:t>DPAs repeatedly identified the print media, social media and events as the most common general awareness-raising methods</w:t>
      </w:r>
      <w:r w:rsidR="00951453" w:rsidRPr="00F8741C">
        <w:t>, however, several DPAs argued for the use of a</w:t>
      </w:r>
      <w:r w:rsidR="0039352E" w:rsidRPr="00F8741C">
        <w:t xml:space="preserve"> multi-method approach </w:t>
      </w:r>
      <w:r w:rsidR="00951453" w:rsidRPr="00F8741C">
        <w:t xml:space="preserve">to </w:t>
      </w:r>
      <w:r w:rsidR="0039352E" w:rsidRPr="00F8741C">
        <w:t>rais</w:t>
      </w:r>
      <w:r w:rsidR="00951453" w:rsidRPr="00F8741C">
        <w:t>e</w:t>
      </w:r>
      <w:r w:rsidR="0039352E" w:rsidRPr="00F8741C">
        <w:t xml:space="preserve"> awareness</w:t>
      </w:r>
      <w:r w:rsidR="00951453" w:rsidRPr="00F8741C">
        <w:t xml:space="preserve">, </w:t>
      </w:r>
      <w:r w:rsidR="00A57325">
        <w:t>particularly when</w:t>
      </w:r>
      <w:r w:rsidR="0039352E" w:rsidRPr="00F8741C">
        <w:t xml:space="preserve"> </w:t>
      </w:r>
      <w:r w:rsidR="006946FF">
        <w:t>targeting SMEs</w:t>
      </w:r>
      <w:r w:rsidR="006B7F38">
        <w:t>,</w:t>
      </w:r>
      <w:r w:rsidR="00951453" w:rsidRPr="00F8741C">
        <w:t xml:space="preserve"> as they tend to be </w:t>
      </w:r>
      <w:r w:rsidR="0039352E" w:rsidRPr="00F8741C">
        <w:t xml:space="preserve">varied </w:t>
      </w:r>
      <w:r w:rsidR="00884683" w:rsidRPr="00F8741C">
        <w:t xml:space="preserve">in </w:t>
      </w:r>
      <w:r w:rsidR="0039352E" w:rsidRPr="00F8741C">
        <w:t xml:space="preserve">nature and </w:t>
      </w:r>
      <w:r w:rsidR="00951453" w:rsidRPr="00F8741C">
        <w:t xml:space="preserve">have different </w:t>
      </w:r>
      <w:r w:rsidR="0039352E" w:rsidRPr="00F8741C">
        <w:t>needs</w:t>
      </w:r>
      <w:r w:rsidR="00951453" w:rsidRPr="00F8741C">
        <w:t>. During the interviews, it was also noted that</w:t>
      </w:r>
      <w:r w:rsidR="0039352E" w:rsidRPr="00F8741C">
        <w:t xml:space="preserve"> </w:t>
      </w:r>
      <w:r w:rsidR="00951453" w:rsidRPr="00F8741C">
        <w:t>participation at events dedicated to SMEs</w:t>
      </w:r>
      <w:r w:rsidR="0039352E" w:rsidRPr="00F8741C">
        <w:t xml:space="preserve"> </w:t>
      </w:r>
      <w:r w:rsidR="00951453" w:rsidRPr="00F8741C">
        <w:t>w</w:t>
      </w:r>
      <w:r w:rsidR="0039352E" w:rsidRPr="00F8741C">
        <w:t xml:space="preserve">as </w:t>
      </w:r>
      <w:r w:rsidR="00951453" w:rsidRPr="00F8741C">
        <w:t xml:space="preserve">one </w:t>
      </w:r>
      <w:r w:rsidR="0039352E" w:rsidRPr="00F8741C">
        <w:t xml:space="preserve">the most effective </w:t>
      </w:r>
      <w:r w:rsidR="00884683" w:rsidRPr="00F8741C">
        <w:t>ways to develop</w:t>
      </w:r>
      <w:r w:rsidR="003D6211" w:rsidRPr="00F8741C">
        <w:t xml:space="preserve"> and adjust</w:t>
      </w:r>
      <w:r w:rsidR="00884683" w:rsidRPr="00F8741C">
        <w:t xml:space="preserve"> </w:t>
      </w:r>
      <w:r w:rsidR="0039352E" w:rsidRPr="00F8741C">
        <w:t>awareness-raising strateg</w:t>
      </w:r>
      <w:r w:rsidR="00884683" w:rsidRPr="00F8741C">
        <w:t>ies as often</w:t>
      </w:r>
      <w:r w:rsidR="00951453" w:rsidRPr="00F8741C">
        <w:t xml:space="preserve"> </w:t>
      </w:r>
      <w:r w:rsidR="00884683" w:rsidRPr="00F8741C">
        <w:t>p</w:t>
      </w:r>
      <w:r w:rsidR="00951453" w:rsidRPr="00F8741C">
        <w:t>resentations and question sessions at such events</w:t>
      </w:r>
      <w:r w:rsidR="00884683" w:rsidRPr="00F8741C">
        <w:t xml:space="preserve"> would</w:t>
      </w:r>
      <w:r w:rsidR="00951453" w:rsidRPr="00F8741C">
        <w:t xml:space="preserve"> facilitate face to face exchanges about the pressing needs and </w:t>
      </w:r>
      <w:r w:rsidR="003D6211" w:rsidRPr="00F8741C">
        <w:t>compliance hurdles</w:t>
      </w:r>
      <w:r w:rsidR="00951453" w:rsidRPr="00F8741C">
        <w:t xml:space="preserve"> of SMEs. </w:t>
      </w:r>
      <w:r w:rsidR="003D6211" w:rsidRPr="00F8741C">
        <w:t>Furthermore</w:t>
      </w:r>
      <w:r w:rsidR="00951453" w:rsidRPr="00F8741C">
        <w:t>,</w:t>
      </w:r>
      <w:r w:rsidR="00884683" w:rsidRPr="00F8741C">
        <w:t xml:space="preserve"> during interviews we</w:t>
      </w:r>
      <w:r w:rsidR="00951453" w:rsidRPr="00F8741C">
        <w:t xml:space="preserve"> observ</w:t>
      </w:r>
      <w:r w:rsidR="00884683" w:rsidRPr="00F8741C">
        <w:t>ed</w:t>
      </w:r>
      <w:r w:rsidR="00951453" w:rsidRPr="00F8741C">
        <w:t xml:space="preserve"> that DPAs claim to </w:t>
      </w:r>
      <w:r w:rsidR="0039352E" w:rsidRPr="00F8741C">
        <w:t>understand SME needs bet</w:t>
      </w:r>
      <w:r w:rsidR="009C64F9" w:rsidRPr="00F8741C">
        <w:t xml:space="preserve">ter </w:t>
      </w:r>
      <w:r w:rsidR="008675EE">
        <w:t>when</w:t>
      </w:r>
      <w:r w:rsidR="008675EE" w:rsidRPr="00F8741C">
        <w:t xml:space="preserve"> </w:t>
      </w:r>
      <w:r w:rsidR="009C64F9" w:rsidRPr="00F8741C">
        <w:t>they had</w:t>
      </w:r>
      <w:r w:rsidR="0039352E" w:rsidRPr="00F8741C">
        <w:t xml:space="preserve"> personal interaction</w:t>
      </w:r>
      <w:r w:rsidR="00951453" w:rsidRPr="00F8741C">
        <w:t>s</w:t>
      </w:r>
      <w:r w:rsidR="009C64F9" w:rsidRPr="00F8741C">
        <w:t xml:space="preserve"> with SME </w:t>
      </w:r>
      <w:r w:rsidR="009C64F9" w:rsidRPr="00F8741C">
        <w:lastRenderedPageBreak/>
        <w:t>representatives</w:t>
      </w:r>
      <w:r w:rsidR="0039352E" w:rsidRPr="00F8741C">
        <w:t xml:space="preserve">, for example, </w:t>
      </w:r>
      <w:r w:rsidR="009C64F9" w:rsidRPr="00F8741C">
        <w:t xml:space="preserve">via </w:t>
      </w:r>
      <w:r w:rsidR="0039352E" w:rsidRPr="00F8741C">
        <w:t xml:space="preserve">on-site consultation and helpline/helpdesk advisory services </w:t>
      </w:r>
      <w:r w:rsidR="009C64F9" w:rsidRPr="00F8741C">
        <w:t>or</w:t>
      </w:r>
      <w:r w:rsidR="00951453" w:rsidRPr="00F8741C">
        <w:t xml:space="preserve"> participation at events</w:t>
      </w:r>
      <w:r w:rsidR="009C64F9" w:rsidRPr="00F8741C">
        <w:t xml:space="preserve"> dedicated to SME needs.</w:t>
      </w:r>
      <w:r w:rsidR="00951453" w:rsidRPr="00F8741C">
        <w:t xml:space="preserve"> </w:t>
      </w:r>
    </w:p>
    <w:p w14:paraId="0135AFB7" w14:textId="7B28900A" w:rsidR="001B6AA8" w:rsidRPr="00F8741C" w:rsidRDefault="00884683" w:rsidP="00606687">
      <w:r w:rsidRPr="00F8741C">
        <w:t>W</w:t>
      </w:r>
      <w:r w:rsidR="00BE7A03" w:rsidRPr="00F8741C">
        <w:t>hen considering</w:t>
      </w:r>
      <w:r w:rsidR="00876705">
        <w:t xml:space="preserve"> other evidence for the</w:t>
      </w:r>
      <w:r w:rsidR="00BE7A03" w:rsidRPr="00F8741C">
        <w:t xml:space="preserve"> scope of awareness raising duties </w:t>
      </w:r>
      <w:r w:rsidR="00876705">
        <w:t>D</w:t>
      </w:r>
      <w:r w:rsidR="005B0B81">
        <w:t>A</w:t>
      </w:r>
      <w:r w:rsidR="00876705">
        <w:t xml:space="preserve">Ps have towards </w:t>
      </w:r>
      <w:r w:rsidR="00463509" w:rsidRPr="00F8741C">
        <w:t>SMEs</w:t>
      </w:r>
      <w:r w:rsidR="00BE7A03" w:rsidRPr="00F8741C">
        <w:t>,</w:t>
      </w:r>
      <w:r w:rsidR="00B50C0A" w:rsidRPr="00F8741C">
        <w:t xml:space="preserve"> </w:t>
      </w:r>
      <w:r w:rsidR="00876705">
        <w:t xml:space="preserve">the </w:t>
      </w:r>
      <w:r w:rsidR="00B50C0A" w:rsidRPr="00F8741C">
        <w:t>vie</w:t>
      </w:r>
      <w:r w:rsidR="002D48A4" w:rsidRPr="00F8741C">
        <w:t>w</w:t>
      </w:r>
      <w:r w:rsidR="00B50C0A" w:rsidRPr="00F8741C">
        <w:t xml:space="preserve">s of academics and practitioners </w:t>
      </w:r>
      <w:r w:rsidR="00697EBE">
        <w:t>supplement the perspective of DPAs themselves</w:t>
      </w:r>
      <w:r w:rsidR="00B50C0A" w:rsidRPr="00F8741C">
        <w:t>.</w:t>
      </w:r>
      <w:r w:rsidRPr="00F8741C">
        <w:t xml:space="preserve"> In principle, they suggest that as far as DPAs’ role of awareness-raising among SMEs, is concerned, it should be regarded </w:t>
      </w:r>
      <w:r w:rsidR="00991F3F">
        <w:t xml:space="preserve">as a form of </w:t>
      </w:r>
      <w:r w:rsidR="00991F3F" w:rsidRPr="005B0B81">
        <w:rPr>
          <w:i/>
          <w:iCs/>
        </w:rPr>
        <w:t>leadership</w:t>
      </w:r>
      <w:r w:rsidRPr="00F8741C">
        <w:t>,</w:t>
      </w:r>
      <w:r w:rsidR="004016BF" w:rsidRPr="00F8741C">
        <w:rPr>
          <w:rStyle w:val="FootnoteReference"/>
        </w:rPr>
        <w:footnoteReference w:id="30"/>
      </w:r>
      <w:r w:rsidRPr="00F8741C">
        <w:t xml:space="preserve"> </w:t>
      </w:r>
      <w:r w:rsidR="003D6211" w:rsidRPr="00F8741C">
        <w:t>‘</w:t>
      </w:r>
      <w:r w:rsidRPr="00F8741C">
        <w:t>where the emphasis is on the expertise, authority, influence of and information from the DPA</w:t>
      </w:r>
      <w:r w:rsidR="003D6211" w:rsidRPr="00F8741C">
        <w:t>’.</w:t>
      </w:r>
      <w:r w:rsidRPr="00F8741C">
        <w:rPr>
          <w:rStyle w:val="FootnoteReference"/>
          <w:rFonts w:asciiTheme="majorHAnsi" w:hAnsiTheme="majorHAnsi" w:cstheme="majorHAnsi"/>
          <w:sz w:val="24"/>
          <w:szCs w:val="24"/>
        </w:rPr>
        <w:footnoteReference w:id="31"/>
      </w:r>
      <w:r w:rsidR="00BE7A03" w:rsidRPr="00F8741C">
        <w:t xml:space="preserve"> </w:t>
      </w:r>
      <w:r w:rsidR="009C64F9" w:rsidRPr="00F8741C">
        <w:t xml:space="preserve">Professor Christopher </w:t>
      </w:r>
      <w:r w:rsidR="0008406E" w:rsidRPr="00F8741C">
        <w:t xml:space="preserve">Hodges </w:t>
      </w:r>
      <w:r w:rsidR="002D48A4" w:rsidRPr="00F8741C">
        <w:t>asserts</w:t>
      </w:r>
      <w:r w:rsidR="0008406E" w:rsidRPr="00F8741C">
        <w:t xml:space="preserve"> that successful leadership</w:t>
      </w:r>
      <w:r w:rsidR="00B50C0A" w:rsidRPr="00F8741C">
        <w:t xml:space="preserve">, and consequently </w:t>
      </w:r>
      <w:r w:rsidR="002275F6" w:rsidRPr="00F8741C">
        <w:t>success of awareness raising duties</w:t>
      </w:r>
      <w:r w:rsidR="0008406E" w:rsidRPr="00F8741C">
        <w:t xml:space="preserve"> of DPAs depend on</w:t>
      </w:r>
      <w:r w:rsidR="004D5444" w:rsidRPr="00F8741C">
        <w:t xml:space="preserve"> trusted relationships which entail</w:t>
      </w:r>
      <w:r w:rsidR="0008406E" w:rsidRPr="00F8741C">
        <w:t xml:space="preserve"> constructive engagement by DPAs with regulated entities.</w:t>
      </w:r>
      <w:r w:rsidR="0008406E" w:rsidRPr="00F8741C">
        <w:rPr>
          <w:rStyle w:val="FootnoteReference"/>
          <w:rFonts w:asciiTheme="majorHAnsi" w:hAnsiTheme="majorHAnsi" w:cstheme="majorHAnsi"/>
          <w:sz w:val="24"/>
          <w:szCs w:val="24"/>
        </w:rPr>
        <w:footnoteReference w:id="32"/>
      </w:r>
      <w:r w:rsidR="0008406E" w:rsidRPr="00F8741C">
        <w:t xml:space="preserve"> </w:t>
      </w:r>
      <w:r w:rsidR="002D48A4" w:rsidRPr="00F8741C">
        <w:t xml:space="preserve">In his view, supportive and responsive regulation </w:t>
      </w:r>
      <w:r w:rsidR="0058653D" w:rsidRPr="00F8741C">
        <w:t>based on more profound understanding of ‘how and why business seek to comply’ requires reconsidering the strict ‘deterrence’ approach.</w:t>
      </w:r>
      <w:r w:rsidR="0058653D" w:rsidRPr="00F8741C">
        <w:rPr>
          <w:rStyle w:val="FootnoteReference"/>
          <w:rFonts w:asciiTheme="majorHAnsi" w:hAnsiTheme="majorHAnsi" w:cstheme="majorHAnsi"/>
          <w:sz w:val="24"/>
          <w:szCs w:val="24"/>
        </w:rPr>
        <w:footnoteReference w:id="33"/>
      </w:r>
      <w:r w:rsidR="0058653D" w:rsidRPr="00F8741C">
        <w:t xml:space="preserve"> </w:t>
      </w:r>
      <w:r w:rsidR="000175E7" w:rsidRPr="00F8741C">
        <w:t>Hielke Hijmans partially shares this view,</w:t>
      </w:r>
      <w:r w:rsidR="00606687" w:rsidRPr="00F8741C">
        <w:t xml:space="preserve"> however,</w:t>
      </w:r>
      <w:r w:rsidR="000175E7" w:rsidRPr="00F8741C">
        <w:t xml:space="preserve"> he notes that enforcement of the regulatory framework to be successful, regulators should have sufficient resources and capacity to issue a strong sanction.</w:t>
      </w:r>
      <w:r w:rsidR="000175E7" w:rsidRPr="00F8741C">
        <w:rPr>
          <w:rStyle w:val="FootnoteReference"/>
          <w:rFonts w:asciiTheme="majorHAnsi" w:hAnsiTheme="majorHAnsi" w:cstheme="majorHAnsi"/>
          <w:sz w:val="24"/>
          <w:szCs w:val="24"/>
        </w:rPr>
        <w:footnoteReference w:id="34"/>
      </w:r>
      <w:r w:rsidR="000175E7" w:rsidRPr="00F8741C">
        <w:t xml:space="preserve"> It could be suggested that the conceptual debate among the two experts, has </w:t>
      </w:r>
      <w:r w:rsidR="00606687" w:rsidRPr="00F8741C">
        <w:t xml:space="preserve">been in fact resolved by </w:t>
      </w:r>
      <w:r w:rsidR="000175E7" w:rsidRPr="00F8741C">
        <w:t xml:space="preserve"> the</w:t>
      </w:r>
      <w:r w:rsidR="005B0B81">
        <w:t xml:space="preserve"> EU</w:t>
      </w:r>
      <w:r w:rsidR="000175E7" w:rsidRPr="00F8741C">
        <w:t xml:space="preserve"> legislator</w:t>
      </w:r>
      <w:r w:rsidR="00606687" w:rsidRPr="00F8741C">
        <w:t xml:space="preserve"> who opted-</w:t>
      </w:r>
      <w:r w:rsidR="000175E7" w:rsidRPr="00F8741C">
        <w:t xml:space="preserve">in </w:t>
      </w:r>
      <w:r w:rsidR="00606687" w:rsidRPr="00F8741C">
        <w:t xml:space="preserve">for a </w:t>
      </w:r>
      <w:r w:rsidR="000175E7" w:rsidRPr="00F8741C">
        <w:t xml:space="preserve">more balanced </w:t>
      </w:r>
      <w:r w:rsidR="00883D00" w:rsidRPr="00F8741C">
        <w:t xml:space="preserve">and practical </w:t>
      </w:r>
      <w:r w:rsidR="00606687" w:rsidRPr="00F8741C">
        <w:t>enforcement</w:t>
      </w:r>
      <w:r w:rsidR="000175E7" w:rsidRPr="00F8741C">
        <w:t xml:space="preserve"> strateg</w:t>
      </w:r>
      <w:r w:rsidR="00606687" w:rsidRPr="00F8741C">
        <w:t>y</w:t>
      </w:r>
      <w:r w:rsidR="000175E7" w:rsidRPr="00F8741C">
        <w:t xml:space="preserve"> that would include both deterrence and compliance approaches. </w:t>
      </w:r>
      <w:r w:rsidR="00883D00" w:rsidRPr="00F8741C">
        <w:t>Indeed, o</w:t>
      </w:r>
      <w:r w:rsidR="001B6AA8" w:rsidRPr="00F8741C">
        <w:t xml:space="preserve">bservations made during interviews with </w:t>
      </w:r>
      <w:r w:rsidR="00606687" w:rsidRPr="00F8741C">
        <w:t xml:space="preserve">22 </w:t>
      </w:r>
      <w:r w:rsidR="00805AFA">
        <w:t>SME Associations</w:t>
      </w:r>
      <w:r w:rsidR="001B6AA8" w:rsidRPr="00F8741C">
        <w:t>, in fact, support</w:t>
      </w:r>
      <w:r w:rsidR="004D5444" w:rsidRPr="00F8741C">
        <w:t xml:space="preserve"> Hijmans</w:t>
      </w:r>
      <w:r w:rsidR="001B6AA8" w:rsidRPr="00F8741C">
        <w:t>’</w:t>
      </w:r>
      <w:r w:rsidR="004D5444" w:rsidRPr="00F8741C">
        <w:t xml:space="preserve"> point given that information on the imposition of fines was one </w:t>
      </w:r>
      <w:r w:rsidR="005D6158">
        <w:t xml:space="preserve">regularly-cited </w:t>
      </w:r>
      <w:r w:rsidR="004D5444" w:rsidRPr="00F8741C">
        <w:t xml:space="preserve">way </w:t>
      </w:r>
      <w:r w:rsidR="00F726A5">
        <w:t>of</w:t>
      </w:r>
      <w:r w:rsidR="004D5444" w:rsidRPr="00F8741C">
        <w:t xml:space="preserve"> captur</w:t>
      </w:r>
      <w:r w:rsidR="00F726A5">
        <w:t>ing</w:t>
      </w:r>
      <w:r w:rsidR="004D5444" w:rsidRPr="00F8741C">
        <w:t xml:space="preserve"> th</w:t>
      </w:r>
      <w:r w:rsidR="00824674" w:rsidRPr="00F8741C">
        <w:t>e</w:t>
      </w:r>
      <w:r w:rsidR="004D5444" w:rsidRPr="00F8741C">
        <w:t xml:space="preserve"> attention of SMEs. That said, SMEs</w:t>
      </w:r>
      <w:r w:rsidR="001B6AA8" w:rsidRPr="00F8741C">
        <w:t>,</w:t>
      </w:r>
      <w:r w:rsidR="00883D00" w:rsidRPr="00F8741C">
        <w:t xml:space="preserve"> </w:t>
      </w:r>
      <w:r w:rsidR="001B6AA8" w:rsidRPr="00F8741C">
        <w:t>however,</w:t>
      </w:r>
      <w:r w:rsidR="004D5444" w:rsidRPr="00F8741C">
        <w:t xml:space="preserve"> are not always preoccupied with fines and a perception was identified among some SMEs that DPA</w:t>
      </w:r>
      <w:r w:rsidR="001B6AA8" w:rsidRPr="00F8741C">
        <w:t xml:space="preserve"> hard enforcement</w:t>
      </w:r>
      <w:r w:rsidR="00FD484B">
        <w:t>, in particular</w:t>
      </w:r>
      <w:r w:rsidR="00FD484B" w:rsidRPr="00F8741C">
        <w:t xml:space="preserve"> imposition</w:t>
      </w:r>
      <w:r w:rsidR="004D5444" w:rsidRPr="00F8741C">
        <w:t xml:space="preserve"> of fine</w:t>
      </w:r>
      <w:r w:rsidR="00FD484B">
        <w:t>s,</w:t>
      </w:r>
      <w:r w:rsidR="004D5444" w:rsidRPr="00F8741C">
        <w:t xml:space="preserve"> was instead a concern of much larger companies.</w:t>
      </w:r>
      <w:r w:rsidR="0083447C">
        <w:t xml:space="preserve"> Some SME interviewees expressed the belief that they were “below the radar” of </w:t>
      </w:r>
      <w:r w:rsidR="00DA4A45">
        <w:t xml:space="preserve">data protection regulators. </w:t>
      </w:r>
    </w:p>
    <w:p w14:paraId="5658D3FA" w14:textId="2908B934" w:rsidR="00884683" w:rsidRPr="00F8741C" w:rsidRDefault="00884683" w:rsidP="00606687">
      <w:r w:rsidRPr="00F8741C">
        <w:t xml:space="preserve">In view of this, </w:t>
      </w:r>
      <w:r w:rsidR="00883D00" w:rsidRPr="00F8741C">
        <w:t xml:space="preserve">in the following sections </w:t>
      </w:r>
      <w:r w:rsidRPr="00F8741C">
        <w:t>we explore the role that DPAs play in terms of the GDPR awareness campaigns for SMEs, which</w:t>
      </w:r>
      <w:r w:rsidR="00883D00" w:rsidRPr="00F8741C">
        <w:t xml:space="preserve">, as noted above, often </w:t>
      </w:r>
      <w:r w:rsidRPr="00F8741C">
        <w:t xml:space="preserve">have distinct GDPR related needs and merit special support from public authorities in comparison with bigger players in the market that have compliance teams. </w:t>
      </w:r>
      <w:r w:rsidR="00883D00" w:rsidRPr="00F8741C">
        <w:t>To this end</w:t>
      </w:r>
      <w:r w:rsidR="00606687" w:rsidRPr="00F8741C">
        <w:t>,</w:t>
      </w:r>
      <w:r w:rsidR="00883D00" w:rsidRPr="00F8741C">
        <w:t xml:space="preserve"> we provide an overview of the state of art and guidance documents that have been issued to ease the GPDR compliance for SMEs and therefore exhibit the DPA role of leader, rather than police officer. </w:t>
      </w:r>
      <w:r w:rsidRPr="00F8741C">
        <w:t xml:space="preserve">While no </w:t>
      </w:r>
      <w:r w:rsidR="00883D00" w:rsidRPr="00F8741C">
        <w:t>interviewed DPA</w:t>
      </w:r>
      <w:r w:rsidRPr="00F8741C">
        <w:t>s</w:t>
      </w:r>
      <w:r w:rsidR="00883D00" w:rsidRPr="00F8741C">
        <w:t xml:space="preserve"> s</w:t>
      </w:r>
      <w:r w:rsidRPr="00F8741C">
        <w:t xml:space="preserve">hared </w:t>
      </w:r>
      <w:r w:rsidR="00883D00" w:rsidRPr="00F8741C">
        <w:t xml:space="preserve">the same view on their </w:t>
      </w:r>
      <w:bookmarkStart w:id="1" w:name="_Hlk36716651"/>
      <w:r w:rsidR="00883D00" w:rsidRPr="00F8741C">
        <w:t>role of the leader</w:t>
      </w:r>
      <w:bookmarkEnd w:id="1"/>
      <w:r w:rsidRPr="00F8741C">
        <w:t>,</w:t>
      </w:r>
      <w:r w:rsidRPr="00F8741C">
        <w:rPr>
          <w:rStyle w:val="FootnoteReference"/>
          <w:rFonts w:asciiTheme="majorHAnsi" w:hAnsiTheme="majorHAnsi" w:cstheme="majorHAnsi"/>
          <w:sz w:val="24"/>
          <w:szCs w:val="24"/>
        </w:rPr>
        <w:footnoteReference w:id="35"/>
      </w:r>
      <w:r w:rsidR="00883D00" w:rsidRPr="00F8741C">
        <w:t xml:space="preserve"> this is the narrative that will pursue.</w:t>
      </w:r>
    </w:p>
    <w:p w14:paraId="6A0F17BD" w14:textId="77777777" w:rsidR="003D171F" w:rsidRPr="00F8741C" w:rsidRDefault="003D171F">
      <w:pPr>
        <w:rPr>
          <w:rFonts w:asciiTheme="majorHAnsi" w:hAnsiTheme="majorHAnsi" w:cstheme="majorHAnsi"/>
          <w:sz w:val="24"/>
          <w:szCs w:val="24"/>
        </w:rPr>
      </w:pPr>
    </w:p>
    <w:p w14:paraId="15DB944C" w14:textId="34908EF2" w:rsidR="00952A1B" w:rsidRPr="00F8741C" w:rsidRDefault="00952A1B" w:rsidP="00AA2023">
      <w:pPr>
        <w:pStyle w:val="ListParagraph"/>
        <w:numPr>
          <w:ilvl w:val="0"/>
          <w:numId w:val="11"/>
        </w:numPr>
        <w:rPr>
          <w:rFonts w:asciiTheme="majorHAnsi" w:hAnsiTheme="majorHAnsi" w:cstheme="majorHAnsi"/>
          <w:b/>
          <w:sz w:val="26"/>
          <w:szCs w:val="26"/>
        </w:rPr>
      </w:pPr>
      <w:r w:rsidRPr="00F8741C">
        <w:rPr>
          <w:rFonts w:asciiTheme="majorHAnsi" w:hAnsiTheme="majorHAnsi" w:cstheme="majorHAnsi"/>
          <w:b/>
          <w:sz w:val="26"/>
          <w:szCs w:val="26"/>
        </w:rPr>
        <w:t xml:space="preserve">The State of the Art </w:t>
      </w:r>
      <w:r w:rsidR="00CB70FC" w:rsidRPr="00F8741C">
        <w:rPr>
          <w:rFonts w:asciiTheme="majorHAnsi" w:hAnsiTheme="majorHAnsi" w:cstheme="majorHAnsi"/>
          <w:b/>
          <w:sz w:val="26"/>
          <w:szCs w:val="26"/>
        </w:rPr>
        <w:t xml:space="preserve">of </w:t>
      </w:r>
      <w:r w:rsidRPr="00F8741C">
        <w:rPr>
          <w:rFonts w:asciiTheme="majorHAnsi" w:hAnsiTheme="majorHAnsi" w:cstheme="majorHAnsi"/>
          <w:b/>
          <w:sz w:val="26"/>
          <w:szCs w:val="26"/>
        </w:rPr>
        <w:t xml:space="preserve">DPAs awareness </w:t>
      </w:r>
      <w:r w:rsidR="00CB70FC" w:rsidRPr="00F8741C">
        <w:rPr>
          <w:rFonts w:asciiTheme="majorHAnsi" w:hAnsiTheme="majorHAnsi" w:cstheme="majorHAnsi"/>
          <w:b/>
          <w:sz w:val="26"/>
          <w:szCs w:val="26"/>
        </w:rPr>
        <w:t>raising efforts targeting</w:t>
      </w:r>
      <w:r w:rsidRPr="00F8741C">
        <w:rPr>
          <w:rFonts w:asciiTheme="majorHAnsi" w:hAnsiTheme="majorHAnsi" w:cstheme="majorHAnsi"/>
          <w:b/>
          <w:sz w:val="26"/>
          <w:szCs w:val="26"/>
        </w:rPr>
        <w:t xml:space="preserve"> SMEs</w:t>
      </w:r>
    </w:p>
    <w:p w14:paraId="3A891E84" w14:textId="77777777" w:rsidR="00CB70FC" w:rsidRPr="00F8741C" w:rsidRDefault="00CB70FC" w:rsidP="00CB70FC">
      <w:pPr>
        <w:pStyle w:val="ListParagraph"/>
        <w:rPr>
          <w:rFonts w:asciiTheme="majorHAnsi" w:hAnsiTheme="majorHAnsi" w:cstheme="majorHAnsi"/>
          <w:b/>
          <w:sz w:val="24"/>
          <w:szCs w:val="24"/>
        </w:rPr>
      </w:pPr>
    </w:p>
    <w:p w14:paraId="7C4372FC" w14:textId="7B669259" w:rsidR="00CB70FC" w:rsidRPr="00F8741C" w:rsidRDefault="00952A1B" w:rsidP="000D59AC">
      <w:pPr>
        <w:pStyle w:val="ListParagraph"/>
        <w:numPr>
          <w:ilvl w:val="0"/>
          <w:numId w:val="5"/>
        </w:numPr>
        <w:rPr>
          <w:rFonts w:asciiTheme="majorHAnsi" w:hAnsiTheme="majorHAnsi" w:cstheme="majorHAnsi"/>
          <w:b/>
          <w:sz w:val="24"/>
          <w:szCs w:val="24"/>
        </w:rPr>
      </w:pPr>
      <w:r w:rsidRPr="00F8741C">
        <w:rPr>
          <w:rFonts w:asciiTheme="majorHAnsi" w:hAnsiTheme="majorHAnsi" w:cstheme="majorHAnsi"/>
          <w:b/>
          <w:sz w:val="24"/>
          <w:szCs w:val="24"/>
        </w:rPr>
        <w:t xml:space="preserve">Guidance </w:t>
      </w:r>
      <w:r w:rsidR="0009362C" w:rsidRPr="00F8741C">
        <w:rPr>
          <w:rFonts w:asciiTheme="majorHAnsi" w:hAnsiTheme="majorHAnsi" w:cstheme="majorHAnsi"/>
          <w:b/>
          <w:sz w:val="24"/>
          <w:szCs w:val="24"/>
        </w:rPr>
        <w:t>m</w:t>
      </w:r>
      <w:r w:rsidRPr="00F8741C">
        <w:rPr>
          <w:rFonts w:asciiTheme="majorHAnsi" w:hAnsiTheme="majorHAnsi" w:cstheme="majorHAnsi"/>
          <w:b/>
          <w:sz w:val="24"/>
          <w:szCs w:val="24"/>
        </w:rPr>
        <w:t>aterial</w:t>
      </w:r>
      <w:r w:rsidR="0009362C" w:rsidRPr="00F8741C">
        <w:rPr>
          <w:rFonts w:asciiTheme="majorHAnsi" w:hAnsiTheme="majorHAnsi" w:cstheme="majorHAnsi"/>
          <w:b/>
          <w:sz w:val="24"/>
          <w:szCs w:val="24"/>
        </w:rPr>
        <w:t>s</w:t>
      </w:r>
    </w:p>
    <w:p w14:paraId="624681B6" w14:textId="59DE4AEA" w:rsidR="00CB70FC" w:rsidRPr="00F8741C" w:rsidRDefault="0076498B" w:rsidP="00606687">
      <w:r w:rsidRPr="00F8741C">
        <w:t xml:space="preserve">Publishing expert advice on data protection issues is an activity that that is pursued by DPAs on a regular basis. </w:t>
      </w:r>
      <w:r w:rsidR="003E6720" w:rsidRPr="00F8741C">
        <w:t>DPAs engage in preparation of such advice independently, in cooperation with other DPAs, or within the framework of the European Data Protection Board</w:t>
      </w:r>
      <w:r w:rsidR="00F604CB" w:rsidRPr="00F8741C">
        <w:t xml:space="preserve"> (EDPB)</w:t>
      </w:r>
      <w:r w:rsidR="003E6720" w:rsidRPr="00F8741C">
        <w:t xml:space="preserve">. This acclaimed expert advice contributing to the consistent application of the GDPR can be presented in different forms: </w:t>
      </w:r>
      <w:r w:rsidR="003E6720" w:rsidRPr="00F8741C">
        <w:lastRenderedPageBreak/>
        <w:t xml:space="preserve">guidelines, recommendations, and best practices. </w:t>
      </w:r>
      <w:r w:rsidR="00F604CB" w:rsidRPr="00F8741C">
        <w:t xml:space="preserve">While guidance provided by the EDPB ‘on its own initiative, on request of one of its members or on request of the Commission, any question covering the application of this Regulation and issue guidelines, recommendations and best practices’ receive </w:t>
      </w:r>
      <w:r w:rsidR="000C7F9E">
        <w:t>the</w:t>
      </w:r>
      <w:r w:rsidR="00F604CB" w:rsidRPr="00F8741C">
        <w:t xml:space="preserve"> most attention</w:t>
      </w:r>
      <w:r w:rsidR="0050005A">
        <w:t xml:space="preserve"> by data protection community</w:t>
      </w:r>
      <w:r w:rsidR="00F604CB" w:rsidRPr="00F8741C">
        <w:t xml:space="preserve">, independent initiatives carry a potential </w:t>
      </w:r>
      <w:r w:rsidR="00606687" w:rsidRPr="00F8741C">
        <w:t xml:space="preserve">to encourage </w:t>
      </w:r>
      <w:r w:rsidR="00F604CB" w:rsidRPr="00F8741C">
        <w:t>in a similar vein consistent application of the GDPR</w:t>
      </w:r>
      <w:r w:rsidR="00606687" w:rsidRPr="00F8741C">
        <w:t xml:space="preserve"> - the</w:t>
      </w:r>
      <w:r w:rsidR="00F604CB" w:rsidRPr="00F8741C">
        <w:t xml:space="preserve"> principle</w:t>
      </w:r>
      <w:r w:rsidR="00606687" w:rsidRPr="00F8741C">
        <w:t>-</w:t>
      </w:r>
      <w:r w:rsidR="00F604CB" w:rsidRPr="00F8741C">
        <w:t xml:space="preserve">based regulation, </w:t>
      </w:r>
      <w:r w:rsidR="00606687" w:rsidRPr="00F8741C">
        <w:t xml:space="preserve">which is </w:t>
      </w:r>
      <w:r w:rsidR="00F604CB" w:rsidRPr="00F8741C">
        <w:t xml:space="preserve">technology neutral and </w:t>
      </w:r>
      <w:r w:rsidR="00606687" w:rsidRPr="00F8741C">
        <w:t xml:space="preserve">which is </w:t>
      </w:r>
      <w:r w:rsidR="00F604CB" w:rsidRPr="00F8741C">
        <w:t xml:space="preserve">often </w:t>
      </w:r>
      <w:r w:rsidR="000D59AC" w:rsidRPr="00F8741C">
        <w:t>are</w:t>
      </w:r>
      <w:r w:rsidR="00F604CB" w:rsidRPr="00F8741C">
        <w:t xml:space="preserve"> criticised </w:t>
      </w:r>
      <w:r w:rsidR="00CB70FC" w:rsidRPr="00F8741C">
        <w:t>for being too vague</w:t>
      </w:r>
      <w:r w:rsidR="000D59AC" w:rsidRPr="00F8741C">
        <w:t xml:space="preserve"> and triggering legal uncertainty</w:t>
      </w:r>
      <w:r w:rsidR="00F604CB" w:rsidRPr="00F8741C">
        <w:t>.</w:t>
      </w:r>
      <w:r w:rsidR="0050005A">
        <w:rPr>
          <w:rStyle w:val="FootnoteReference"/>
        </w:rPr>
        <w:footnoteReference w:id="36"/>
      </w:r>
    </w:p>
    <w:p w14:paraId="52B58DBC" w14:textId="0EDB1A5C" w:rsidR="00571551" w:rsidRPr="00F8741C" w:rsidRDefault="0009362C" w:rsidP="00606687">
      <w:r w:rsidRPr="00F8741C">
        <w:t>In our survey, we found that around 80% of surveyed SME representatives have accessed guidance provided by DPA at least once in the period of last six months, with a small group of SMEs who were accessing guidance from their DPA on a very regular basis (i.e. more than 10 times in last six months).</w:t>
      </w:r>
      <w:r w:rsidR="001A60E4" w:rsidRPr="00F8741C">
        <w:rPr>
          <w:rStyle w:val="FootnoteReference"/>
          <w:rFonts w:asciiTheme="majorHAnsi" w:hAnsiTheme="majorHAnsi" w:cstheme="majorHAnsi"/>
          <w:sz w:val="24"/>
          <w:szCs w:val="24"/>
        </w:rPr>
        <w:footnoteReference w:id="37"/>
      </w:r>
      <w:r w:rsidRPr="00F8741C">
        <w:t xml:space="preserve"> The reasons </w:t>
      </w:r>
      <w:r w:rsidR="00EE368B">
        <w:t xml:space="preserve">offered </w:t>
      </w:r>
      <w:r w:rsidRPr="00F8741C">
        <w:t>for relatively low engagement with guidance materials provided by DPA</w:t>
      </w:r>
      <w:r w:rsidR="00606687" w:rsidRPr="00F8741C">
        <w:t>s</w:t>
      </w:r>
      <w:r w:rsidR="00571551" w:rsidRPr="00F8741C">
        <w:t xml:space="preserve"> varied from the observation that such guidance documents are o</w:t>
      </w:r>
      <w:r w:rsidRPr="00F8741C">
        <w:t xml:space="preserve">verly generic </w:t>
      </w:r>
      <w:r w:rsidR="00571551" w:rsidRPr="00F8741C">
        <w:t>and that</w:t>
      </w:r>
      <w:r w:rsidRPr="00F8741C">
        <w:t xml:space="preserve"> the organisation must infer from it and make </w:t>
      </w:r>
      <w:r w:rsidR="00571551" w:rsidRPr="00F8741C">
        <w:t>assumptions about how it should be interpreted in their specific situation.</w:t>
      </w:r>
      <w:r w:rsidR="001A60E4" w:rsidRPr="00F8741C">
        <w:rPr>
          <w:rStyle w:val="FootnoteReference"/>
          <w:rFonts w:asciiTheme="majorHAnsi" w:hAnsiTheme="majorHAnsi" w:cstheme="majorHAnsi"/>
          <w:sz w:val="24"/>
          <w:szCs w:val="24"/>
        </w:rPr>
        <w:footnoteReference w:id="38"/>
      </w:r>
      <w:r w:rsidR="00571551" w:rsidRPr="00F8741C">
        <w:t xml:space="preserve"> Some of the respondents note that such g</w:t>
      </w:r>
      <w:r w:rsidRPr="00F8741C">
        <w:t xml:space="preserve">uidance </w:t>
      </w:r>
      <w:r w:rsidR="00571551" w:rsidRPr="00F8741C">
        <w:t>more often r</w:t>
      </w:r>
      <w:r w:rsidRPr="00F8741C">
        <w:t>aises more questions than it answers</w:t>
      </w:r>
      <w:r w:rsidR="00571551" w:rsidRPr="00F8741C">
        <w:t xml:space="preserve"> and that it arrives too late</w:t>
      </w:r>
      <w:r w:rsidR="00606687" w:rsidRPr="00F8741C">
        <w:t xml:space="preserve"> – after </w:t>
      </w:r>
      <w:r w:rsidR="00994BE0" w:rsidRPr="00F8741C">
        <w:t>the time the legislation should have been impl</w:t>
      </w:r>
      <w:r w:rsidR="00FD77BA">
        <w:t>e</w:t>
      </w:r>
      <w:r w:rsidR="00994BE0" w:rsidRPr="00F8741C">
        <w:t>mented</w:t>
      </w:r>
      <w:r w:rsidR="00571551" w:rsidRPr="00F8741C">
        <w:t>. Furthermore, some SME representatives shared an opinion that DPA guidance is too academic and focused on legal theory to be useful for everyday use, particularly for SMEs. This point was highlighted by on interviewee as ‘the rules and guidance are designed for much bigger companies, where there is one or two specialist people just dealing with the issue. They are not for people doing paperwork late at night at the kitchen table after being in the field all day</w:t>
      </w:r>
      <w:r w:rsidR="001A60E4" w:rsidRPr="00F8741C">
        <w:t>.</w:t>
      </w:r>
      <w:r w:rsidR="00571551" w:rsidRPr="00F8741C">
        <w:t>’</w:t>
      </w:r>
    </w:p>
    <w:p w14:paraId="7FCD90D4" w14:textId="478EFCBA" w:rsidR="0009362C" w:rsidRPr="00F8741C" w:rsidRDefault="00571551" w:rsidP="00994BE0">
      <w:r w:rsidRPr="00F8741C">
        <w:t xml:space="preserve">Despite criticism directed towards general guidance documents, overall about 45% of respondents found the guidance to be somewhat useful. Consequently, it can be suggested that </w:t>
      </w:r>
      <w:r w:rsidR="00994BE0" w:rsidRPr="00F8741C">
        <w:t xml:space="preserve">there is place for improvement and that </w:t>
      </w:r>
      <w:r w:rsidRPr="00F8741C">
        <w:t>more tailored</w:t>
      </w:r>
      <w:r w:rsidR="001A60E4" w:rsidRPr="00F8741C">
        <w:t xml:space="preserve"> DPA</w:t>
      </w:r>
      <w:r w:rsidRPr="00F8741C">
        <w:t xml:space="preserve"> guidance taking into account distinct needs of SMEs would be appreciated. </w:t>
      </w:r>
    </w:p>
    <w:p w14:paraId="6428C336" w14:textId="0AD5E2C2" w:rsidR="0009362C" w:rsidRPr="00F8741C" w:rsidRDefault="0009362C" w:rsidP="00B3137D">
      <w:pPr>
        <w:textAlignment w:val="top"/>
        <w:rPr>
          <w:rFonts w:asciiTheme="majorHAnsi" w:hAnsiTheme="majorHAnsi" w:cstheme="majorHAnsi"/>
          <w:sz w:val="24"/>
          <w:szCs w:val="24"/>
        </w:rPr>
      </w:pPr>
    </w:p>
    <w:p w14:paraId="4A68F4C8" w14:textId="48844317" w:rsidR="0009362C" w:rsidRPr="00F8741C" w:rsidRDefault="0009362C" w:rsidP="0009362C">
      <w:pPr>
        <w:pStyle w:val="ListParagraph"/>
        <w:numPr>
          <w:ilvl w:val="0"/>
          <w:numId w:val="5"/>
        </w:numPr>
        <w:textAlignment w:val="top"/>
        <w:rPr>
          <w:rFonts w:asciiTheme="majorHAnsi" w:hAnsiTheme="majorHAnsi" w:cstheme="majorHAnsi"/>
          <w:b/>
          <w:bCs/>
          <w:sz w:val="24"/>
          <w:szCs w:val="24"/>
        </w:rPr>
      </w:pPr>
      <w:r w:rsidRPr="00F8741C">
        <w:rPr>
          <w:rFonts w:asciiTheme="majorHAnsi" w:hAnsiTheme="majorHAnsi" w:cstheme="majorHAnsi"/>
          <w:b/>
          <w:bCs/>
          <w:sz w:val="24"/>
          <w:szCs w:val="24"/>
        </w:rPr>
        <w:t>Guidance tailored to SMEs</w:t>
      </w:r>
    </w:p>
    <w:p w14:paraId="793156EC" w14:textId="77777777" w:rsidR="00405ED3" w:rsidRPr="00F8741C" w:rsidRDefault="00B3137D" w:rsidP="00994BE0">
      <w:r w:rsidRPr="00F8741C">
        <w:t>Based on the information provided by the STAR II DPA interviews as well as desktop research of all EU DPA websites, it appears that slightly less than one third of EU DPAs currently provide GDPR guidance that is specifically tailored for SMEs; upon last review this included the DPAs from Belgium (APD),</w:t>
      </w:r>
      <w:r w:rsidRPr="00F8741C">
        <w:rPr>
          <w:rStyle w:val="FootnoteReference"/>
          <w:rFonts w:asciiTheme="majorHAnsi" w:hAnsiTheme="majorHAnsi" w:cstheme="majorHAnsi"/>
          <w:sz w:val="24"/>
          <w:szCs w:val="24"/>
        </w:rPr>
        <w:footnoteReference w:id="39"/>
      </w:r>
      <w:r w:rsidRPr="00F8741C">
        <w:t xml:space="preserve"> France (CNIL),</w:t>
      </w:r>
      <w:r w:rsidRPr="00F8741C">
        <w:rPr>
          <w:rStyle w:val="FootnoteReference"/>
          <w:rFonts w:asciiTheme="majorHAnsi" w:hAnsiTheme="majorHAnsi" w:cstheme="majorHAnsi"/>
          <w:sz w:val="24"/>
          <w:szCs w:val="24"/>
        </w:rPr>
        <w:footnoteReference w:id="40"/>
      </w:r>
      <w:r w:rsidRPr="00F8741C">
        <w:t xml:space="preserve"> Ireland (DPC),</w:t>
      </w:r>
      <w:r w:rsidRPr="00F8741C">
        <w:rPr>
          <w:rStyle w:val="FootnoteReference"/>
          <w:rFonts w:asciiTheme="majorHAnsi" w:hAnsiTheme="majorHAnsi" w:cstheme="majorHAnsi"/>
          <w:sz w:val="24"/>
          <w:szCs w:val="24"/>
        </w:rPr>
        <w:footnoteReference w:id="41"/>
      </w:r>
      <w:r w:rsidRPr="00F8741C">
        <w:t xml:space="preserve"> Lithuania (VDAI),</w:t>
      </w:r>
      <w:r w:rsidRPr="00F8741C">
        <w:rPr>
          <w:rStyle w:val="FootnoteReference"/>
          <w:rFonts w:asciiTheme="majorHAnsi" w:hAnsiTheme="majorHAnsi" w:cstheme="majorHAnsi"/>
          <w:sz w:val="24"/>
          <w:szCs w:val="24"/>
        </w:rPr>
        <w:footnoteReference w:id="42"/>
      </w:r>
      <w:r w:rsidRPr="00F8741C">
        <w:t xml:space="preserve"> Slovenia (IP),</w:t>
      </w:r>
      <w:r w:rsidRPr="00F8741C">
        <w:rPr>
          <w:rStyle w:val="FootnoteReference"/>
          <w:rFonts w:asciiTheme="majorHAnsi" w:hAnsiTheme="majorHAnsi" w:cstheme="majorHAnsi"/>
          <w:sz w:val="24"/>
          <w:szCs w:val="24"/>
        </w:rPr>
        <w:footnoteReference w:id="43"/>
      </w:r>
      <w:r w:rsidRPr="00F8741C">
        <w:t xml:space="preserve"> Spain (AEPD),</w:t>
      </w:r>
      <w:r w:rsidRPr="00F8741C">
        <w:rPr>
          <w:rStyle w:val="FootnoteReference"/>
          <w:rFonts w:asciiTheme="majorHAnsi" w:hAnsiTheme="majorHAnsi" w:cstheme="majorHAnsi"/>
          <w:sz w:val="24"/>
          <w:szCs w:val="24"/>
        </w:rPr>
        <w:footnoteReference w:id="44"/>
      </w:r>
      <w:r w:rsidRPr="00F8741C">
        <w:t xml:space="preserve"> Sweden </w:t>
      </w:r>
      <w:r w:rsidRPr="00F8741C">
        <w:lastRenderedPageBreak/>
        <w:t>(Datainspektionen)</w:t>
      </w:r>
      <w:r w:rsidRPr="00F8741C">
        <w:rPr>
          <w:rStyle w:val="FootnoteReference"/>
          <w:rFonts w:asciiTheme="majorHAnsi" w:hAnsiTheme="majorHAnsi" w:cstheme="majorHAnsi"/>
          <w:sz w:val="24"/>
          <w:szCs w:val="24"/>
        </w:rPr>
        <w:footnoteReference w:id="45"/>
      </w:r>
      <w:r w:rsidRPr="00F8741C">
        <w:t xml:space="preserve"> and the UK (ICO).</w:t>
      </w:r>
      <w:r w:rsidRPr="00F8741C">
        <w:rPr>
          <w:rStyle w:val="FootnoteReference"/>
          <w:rFonts w:asciiTheme="majorHAnsi" w:hAnsiTheme="majorHAnsi" w:cstheme="majorHAnsi"/>
          <w:sz w:val="24"/>
          <w:szCs w:val="24"/>
        </w:rPr>
        <w:footnoteReference w:id="46"/>
      </w:r>
      <w:r w:rsidRPr="00F8741C">
        <w:t xml:space="preserve"> Some of these DPAs further distinguish guidance for micro-businesses.</w:t>
      </w:r>
      <w:r w:rsidRPr="00F8741C">
        <w:rPr>
          <w:rStyle w:val="FootnoteReference"/>
          <w:rFonts w:asciiTheme="majorHAnsi" w:hAnsiTheme="majorHAnsi" w:cstheme="majorHAnsi"/>
          <w:sz w:val="24"/>
          <w:szCs w:val="24"/>
        </w:rPr>
        <w:footnoteReference w:id="47"/>
      </w:r>
      <w:r w:rsidRPr="00F8741C">
        <w:t xml:space="preserve"> </w:t>
      </w:r>
    </w:p>
    <w:p w14:paraId="4A8C38DF" w14:textId="18E0C0BA" w:rsidR="0091567B" w:rsidRPr="00F8741C" w:rsidRDefault="00B3137D" w:rsidP="00994BE0">
      <w:r w:rsidRPr="00F8741C">
        <w:t>Th</w:t>
      </w:r>
      <w:r w:rsidR="00405ED3" w:rsidRPr="00F8741C">
        <w:t>e</w:t>
      </w:r>
      <w:r w:rsidRPr="00F8741C">
        <w:t xml:space="preserve"> guidance provided through the DPA websites takes the form of either a downloadable document, a section of the DPA website or indeed a </w:t>
      </w:r>
      <w:r w:rsidR="00824674" w:rsidRPr="00F8741C">
        <w:t xml:space="preserve">separate </w:t>
      </w:r>
      <w:r w:rsidRPr="00F8741C">
        <w:t xml:space="preserve">dedicated website. The approach taken in the SME specific guidance is usually holistic in terms of the issues covered, often presented in the same order as an SME might logically need to commence addressing data protection within their organisation. The issues typically include, in various presentation styles: </w:t>
      </w:r>
      <w:r w:rsidR="00405ED3" w:rsidRPr="00F8741C">
        <w:t xml:space="preserve">key concepts of the GDPR (e.g. </w:t>
      </w:r>
      <w:r w:rsidR="00817245" w:rsidRPr="00F8741C">
        <w:t xml:space="preserve">what is (not) personal data and </w:t>
      </w:r>
      <w:r w:rsidR="00405ED3" w:rsidRPr="00F8741C">
        <w:t>the difference between personal data and special categories or the so called sensitive data), principles (e.g. accuracy, data minimisation, limited retention)</w:t>
      </w:r>
      <w:r w:rsidRPr="00F8741C">
        <w:t>; data security</w:t>
      </w:r>
      <w:r w:rsidR="00405ED3" w:rsidRPr="00F8741C">
        <w:t xml:space="preserve"> obligations</w:t>
      </w:r>
      <w:r w:rsidR="0091567B" w:rsidRPr="00F8741C">
        <w:t xml:space="preserve"> concerning technical and organisational set up of the processing</w:t>
      </w:r>
      <w:r w:rsidRPr="00F8741C">
        <w:t xml:space="preserve">; </w:t>
      </w:r>
      <w:r w:rsidR="0091567B" w:rsidRPr="00F8741C">
        <w:t xml:space="preserve">obligations concerning </w:t>
      </w:r>
      <w:r w:rsidRPr="00F8741C">
        <w:t>data subject rights; and the appointment of a Data Protection Office (DPO)</w:t>
      </w:r>
      <w:r w:rsidR="00824674" w:rsidRPr="00F8741C">
        <w:t>,</w:t>
      </w:r>
      <w:r w:rsidRPr="00F8741C">
        <w:t xml:space="preserve"> among others. </w:t>
      </w:r>
      <w:r w:rsidR="00CA1249">
        <w:t xml:space="preserve">This guidance mostly effectively brought these issues to the attention of SME readers through </w:t>
      </w:r>
      <w:r w:rsidR="002C3FFE">
        <w:t xml:space="preserve">questions asked in the voice of the SMEs or through proactive actions they could take, </w:t>
      </w:r>
      <w:r w:rsidRPr="00F8741C">
        <w:t xml:space="preserve">rather than approaching the issue in terms of the GDPR obligations. </w:t>
      </w:r>
    </w:p>
    <w:p w14:paraId="4410D327" w14:textId="4AA2585E" w:rsidR="00FA528B" w:rsidRPr="00F8741C" w:rsidRDefault="00FA528B" w:rsidP="00B3137D">
      <w:pPr>
        <w:textAlignment w:val="top"/>
        <w:rPr>
          <w:rFonts w:asciiTheme="majorHAnsi" w:hAnsiTheme="majorHAnsi" w:cstheme="majorHAnsi"/>
          <w:sz w:val="24"/>
          <w:szCs w:val="24"/>
        </w:rPr>
      </w:pPr>
      <w:r w:rsidRPr="00F8741C">
        <w:rPr>
          <w:rFonts w:asciiTheme="majorHAnsi" w:hAnsiTheme="majorHAnsi" w:cstheme="majorHAnsi"/>
          <w:sz w:val="24"/>
          <w:szCs w:val="24"/>
        </w:rPr>
        <w:t>a) Self-assessment</w:t>
      </w:r>
      <w:r w:rsidR="00817245" w:rsidRPr="00F8741C">
        <w:rPr>
          <w:rFonts w:asciiTheme="majorHAnsi" w:hAnsiTheme="majorHAnsi" w:cstheme="majorHAnsi"/>
          <w:sz w:val="24"/>
          <w:szCs w:val="24"/>
        </w:rPr>
        <w:t>s</w:t>
      </w:r>
    </w:p>
    <w:p w14:paraId="56A6479E" w14:textId="3522618A" w:rsidR="00B3137D" w:rsidRPr="00F8741C" w:rsidRDefault="00824674" w:rsidP="00994BE0">
      <w:r w:rsidRPr="00F8741C">
        <w:t>Two</w:t>
      </w:r>
      <w:r w:rsidR="00B3137D" w:rsidRPr="00F8741C">
        <w:t xml:space="preserve"> </w:t>
      </w:r>
      <w:r w:rsidR="0091567B" w:rsidRPr="00F8741C">
        <w:t xml:space="preserve">illustrative </w:t>
      </w:r>
      <w:r w:rsidR="00B3137D" w:rsidRPr="00F8741C">
        <w:t>example</w:t>
      </w:r>
      <w:r w:rsidRPr="00F8741C">
        <w:t>s</w:t>
      </w:r>
      <w:r w:rsidR="00817245" w:rsidRPr="00F8741C">
        <w:rPr>
          <w:rStyle w:val="FootnoteReference"/>
          <w:rFonts w:asciiTheme="majorHAnsi" w:hAnsiTheme="majorHAnsi" w:cstheme="majorHAnsi"/>
          <w:sz w:val="24"/>
          <w:szCs w:val="24"/>
        </w:rPr>
        <w:footnoteReference w:id="48"/>
      </w:r>
      <w:r w:rsidR="00B3137D" w:rsidRPr="00F8741C">
        <w:t xml:space="preserve"> </w:t>
      </w:r>
      <w:r w:rsidR="0091567B" w:rsidRPr="00F8741C">
        <w:t xml:space="preserve">of guidance documents addressing SMEs include ‘GDPR Guide’ </w:t>
      </w:r>
      <w:r w:rsidR="000E104A" w:rsidRPr="00F8741C">
        <w:t>of</w:t>
      </w:r>
      <w:r w:rsidR="00B3137D" w:rsidRPr="00F8741C">
        <w:t xml:space="preserve"> the Datainspektionen, which asks businesses the following nine “quick” question</w:t>
      </w:r>
      <w:r w:rsidR="000E104A" w:rsidRPr="00F8741C">
        <w:t>s</w:t>
      </w:r>
      <w:r w:rsidR="00303004" w:rsidRPr="00F8741C">
        <w:rPr>
          <w:rStyle w:val="FootnoteReference"/>
          <w:rFonts w:asciiTheme="majorHAnsi" w:hAnsiTheme="majorHAnsi" w:cstheme="majorHAnsi"/>
          <w:sz w:val="24"/>
          <w:szCs w:val="24"/>
        </w:rPr>
        <w:footnoteReference w:id="49"/>
      </w:r>
      <w:r w:rsidR="000E104A" w:rsidRPr="00F8741C">
        <w:t xml:space="preserve"> and that </w:t>
      </w:r>
      <w:r w:rsidR="00602479">
        <w:t>from the</w:t>
      </w:r>
      <w:r w:rsidR="000E104A" w:rsidRPr="00F8741C">
        <w:t xml:space="preserve"> ICO which sets out eight questions for small businesses and sole traders</w:t>
      </w:r>
      <w:r w:rsidR="00B3137D" w:rsidRPr="00F8741C">
        <w:t xml:space="preserve"> </w:t>
      </w:r>
      <w:r w:rsidR="000E104A" w:rsidRPr="00F8741C">
        <w:t xml:space="preserve">so they can conduct an initial self-assessment before </w:t>
      </w:r>
      <w:r w:rsidR="0091567B" w:rsidRPr="00F8741C">
        <w:t xml:space="preserve">immersing themselves </w:t>
      </w:r>
      <w:r w:rsidR="000E104A" w:rsidRPr="00F8741C">
        <w:t xml:space="preserve">further </w:t>
      </w:r>
      <w:r w:rsidR="0091567B" w:rsidRPr="00F8741C">
        <w:t xml:space="preserve">in the numerous </w:t>
      </w:r>
      <w:r w:rsidR="000E104A" w:rsidRPr="00F8741C">
        <w:t>guidance pages.</w:t>
      </w:r>
      <w:r w:rsidR="000E104A" w:rsidRPr="00F8741C">
        <w:rPr>
          <w:rStyle w:val="FootnoteReference"/>
          <w:rFonts w:asciiTheme="majorHAnsi" w:hAnsiTheme="majorHAnsi" w:cstheme="majorHAnsi"/>
          <w:sz w:val="24"/>
          <w:szCs w:val="24"/>
        </w:rPr>
        <w:footnoteReference w:id="50"/>
      </w:r>
      <w:r w:rsidR="000E104A" w:rsidRPr="00F8741C">
        <w:t xml:space="preserve"> </w:t>
      </w:r>
      <w:r w:rsidR="0091567B" w:rsidRPr="00F8741C">
        <w:t>It can be noted , that t</w:t>
      </w:r>
      <w:r w:rsidR="00A97290" w:rsidRPr="00F8741C">
        <w:t xml:space="preserve">he Swedish DPA questions are </w:t>
      </w:r>
      <w:r w:rsidR="00D123EA" w:rsidRPr="00F8741C">
        <w:t>more applied than that of the UK authority, although ‘more information’ is readily available beside each ICO question</w:t>
      </w:r>
      <w:r w:rsidR="00A97290" w:rsidRPr="00F8741C">
        <w:t xml:space="preserve"> with applied examples</w:t>
      </w:r>
      <w:r w:rsidR="00D123EA" w:rsidRPr="00F8741C">
        <w:t>.  Both</w:t>
      </w:r>
      <w:r w:rsidR="00A97290" w:rsidRPr="00F8741C">
        <w:t xml:space="preserve"> sets of questions</w:t>
      </w:r>
      <w:r w:rsidR="00D123EA" w:rsidRPr="00F8741C">
        <w:t xml:space="preserve"> in the order they appear</w:t>
      </w:r>
      <w:r w:rsidR="00A97290" w:rsidRPr="00F8741C">
        <w:t xml:space="preserve"> are</w:t>
      </w:r>
      <w:r w:rsidR="00D123EA" w:rsidRPr="00F8741C">
        <w:t xml:space="preserve"> in the table</w:t>
      </w:r>
      <w:r w:rsidR="0002589A" w:rsidRPr="00F8741C">
        <w:t>s</w:t>
      </w:r>
      <w:r w:rsidR="00D123EA" w:rsidRPr="00F8741C">
        <w:t xml:space="preserve"> below:</w:t>
      </w:r>
      <w:r w:rsidR="00E33F29" w:rsidRPr="00F8741C">
        <w:t xml:space="preserve"> </w:t>
      </w:r>
    </w:p>
    <w:tbl>
      <w:tblPr>
        <w:tblStyle w:val="TableGrid"/>
        <w:tblW w:w="0" w:type="auto"/>
        <w:jc w:val="center"/>
        <w:tblLook w:val="04A0" w:firstRow="1" w:lastRow="0" w:firstColumn="1" w:lastColumn="0" w:noHBand="0" w:noVBand="1"/>
      </w:tblPr>
      <w:tblGrid>
        <w:gridCol w:w="465"/>
        <w:gridCol w:w="8035"/>
      </w:tblGrid>
      <w:tr w:rsidR="00FA528B" w:rsidRPr="00F8741C" w14:paraId="3CA3EEDD" w14:textId="77777777" w:rsidTr="009A406D">
        <w:trPr>
          <w:jc w:val="center"/>
        </w:trPr>
        <w:tc>
          <w:tcPr>
            <w:tcW w:w="465" w:type="dxa"/>
          </w:tcPr>
          <w:p w14:paraId="418C25EF" w14:textId="77777777" w:rsidR="00FA528B" w:rsidRPr="00F8741C" w:rsidRDefault="00FA528B" w:rsidP="009A406D">
            <w:pPr>
              <w:textAlignment w:val="top"/>
              <w:rPr>
                <w:rFonts w:asciiTheme="majorHAnsi" w:hAnsiTheme="majorHAnsi" w:cstheme="majorHAnsi"/>
                <w:sz w:val="18"/>
                <w:szCs w:val="18"/>
              </w:rPr>
            </w:pPr>
          </w:p>
        </w:tc>
        <w:tc>
          <w:tcPr>
            <w:tcW w:w="8035" w:type="dxa"/>
          </w:tcPr>
          <w:p w14:paraId="38980FD3" w14:textId="77777777" w:rsidR="00FA528B" w:rsidRPr="00F8741C" w:rsidRDefault="00FA528B" w:rsidP="009A406D">
            <w:pPr>
              <w:jc w:val="center"/>
              <w:textAlignment w:val="top"/>
              <w:rPr>
                <w:rFonts w:asciiTheme="majorHAnsi" w:hAnsiTheme="majorHAnsi" w:cstheme="majorHAnsi"/>
                <w:b/>
                <w:bCs/>
                <w:sz w:val="18"/>
                <w:szCs w:val="18"/>
              </w:rPr>
            </w:pPr>
            <w:r w:rsidRPr="00F8741C">
              <w:rPr>
                <w:rFonts w:asciiTheme="majorHAnsi" w:hAnsiTheme="majorHAnsi" w:cstheme="majorHAnsi"/>
                <w:b/>
                <w:bCs/>
                <w:sz w:val="18"/>
                <w:szCs w:val="18"/>
              </w:rPr>
              <w:t>Datainspektionen</w:t>
            </w:r>
          </w:p>
        </w:tc>
      </w:tr>
      <w:tr w:rsidR="00FA528B" w:rsidRPr="00F8741C" w14:paraId="2A9F5E56" w14:textId="77777777" w:rsidTr="009A406D">
        <w:trPr>
          <w:trHeight w:val="352"/>
          <w:jc w:val="center"/>
        </w:trPr>
        <w:tc>
          <w:tcPr>
            <w:tcW w:w="465" w:type="dxa"/>
          </w:tcPr>
          <w:p w14:paraId="780F6C9F" w14:textId="77777777" w:rsidR="00FA528B" w:rsidRPr="00F8741C" w:rsidRDefault="00FA528B" w:rsidP="009A406D">
            <w:pPr>
              <w:textAlignment w:val="top"/>
              <w:rPr>
                <w:rFonts w:asciiTheme="majorHAnsi" w:hAnsiTheme="majorHAnsi" w:cstheme="majorHAnsi"/>
                <w:sz w:val="18"/>
                <w:szCs w:val="18"/>
              </w:rPr>
            </w:pPr>
            <w:r w:rsidRPr="00F8741C">
              <w:rPr>
                <w:rFonts w:asciiTheme="majorHAnsi" w:hAnsiTheme="majorHAnsi" w:cstheme="majorHAnsi"/>
                <w:sz w:val="18"/>
                <w:szCs w:val="18"/>
              </w:rPr>
              <w:t>1</w:t>
            </w:r>
          </w:p>
        </w:tc>
        <w:tc>
          <w:tcPr>
            <w:tcW w:w="8035" w:type="dxa"/>
          </w:tcPr>
          <w:p w14:paraId="02C715E3" w14:textId="77777777" w:rsidR="00FA528B" w:rsidRPr="00F8741C" w:rsidRDefault="00FA528B" w:rsidP="009A406D">
            <w:pPr>
              <w:textAlignment w:val="top"/>
              <w:rPr>
                <w:rFonts w:asciiTheme="majorHAnsi" w:hAnsiTheme="majorHAnsi" w:cstheme="majorHAnsi"/>
                <w:sz w:val="18"/>
                <w:szCs w:val="18"/>
              </w:rPr>
            </w:pPr>
            <w:r w:rsidRPr="00F8741C">
              <w:rPr>
                <w:rFonts w:asciiTheme="majorHAnsi" w:hAnsiTheme="majorHAnsi" w:cstheme="majorHAnsi"/>
                <w:sz w:val="18"/>
                <w:szCs w:val="18"/>
              </w:rPr>
              <w:t xml:space="preserve">Do you have a list of what types of personal information is in your company and how you use this information? </w:t>
            </w:r>
          </w:p>
        </w:tc>
      </w:tr>
      <w:tr w:rsidR="00FA528B" w:rsidRPr="00F8741C" w14:paraId="34524734" w14:textId="77777777" w:rsidTr="009A406D">
        <w:trPr>
          <w:jc w:val="center"/>
        </w:trPr>
        <w:tc>
          <w:tcPr>
            <w:tcW w:w="465" w:type="dxa"/>
          </w:tcPr>
          <w:p w14:paraId="3EF2DDEA" w14:textId="77777777" w:rsidR="00FA528B" w:rsidRPr="00F8741C" w:rsidRDefault="00FA528B" w:rsidP="009A406D">
            <w:pPr>
              <w:textAlignment w:val="top"/>
              <w:rPr>
                <w:rFonts w:asciiTheme="majorHAnsi" w:hAnsiTheme="majorHAnsi" w:cstheme="majorHAnsi"/>
                <w:sz w:val="18"/>
                <w:szCs w:val="18"/>
              </w:rPr>
            </w:pPr>
            <w:r w:rsidRPr="00F8741C">
              <w:rPr>
                <w:rFonts w:asciiTheme="majorHAnsi" w:hAnsiTheme="majorHAnsi" w:cstheme="majorHAnsi"/>
                <w:sz w:val="18"/>
                <w:szCs w:val="18"/>
              </w:rPr>
              <w:t>2</w:t>
            </w:r>
          </w:p>
        </w:tc>
        <w:tc>
          <w:tcPr>
            <w:tcW w:w="8035" w:type="dxa"/>
          </w:tcPr>
          <w:p w14:paraId="06382E3B" w14:textId="77777777" w:rsidR="00FA528B" w:rsidRPr="00F8741C" w:rsidRDefault="00FA528B" w:rsidP="009A406D">
            <w:pPr>
              <w:textAlignment w:val="top"/>
              <w:rPr>
                <w:rFonts w:asciiTheme="majorHAnsi" w:eastAsia="Times New Roman" w:hAnsiTheme="majorHAnsi" w:cstheme="majorHAnsi"/>
                <w:sz w:val="18"/>
                <w:szCs w:val="18"/>
              </w:rPr>
            </w:pPr>
            <w:r w:rsidRPr="00F8741C">
              <w:rPr>
                <w:rFonts w:asciiTheme="majorHAnsi" w:hAnsiTheme="majorHAnsi" w:cstheme="majorHAnsi"/>
                <w:sz w:val="18"/>
                <w:szCs w:val="18"/>
              </w:rPr>
              <w:t>Do you have a customer register?</w:t>
            </w:r>
          </w:p>
        </w:tc>
      </w:tr>
      <w:tr w:rsidR="00FA528B" w:rsidRPr="00F8741C" w14:paraId="1F93D930" w14:textId="77777777" w:rsidTr="009A406D">
        <w:trPr>
          <w:jc w:val="center"/>
        </w:trPr>
        <w:tc>
          <w:tcPr>
            <w:tcW w:w="465" w:type="dxa"/>
          </w:tcPr>
          <w:p w14:paraId="53827174" w14:textId="77777777" w:rsidR="00FA528B" w:rsidRPr="00F8741C" w:rsidRDefault="00FA528B" w:rsidP="009A406D">
            <w:pPr>
              <w:textAlignment w:val="top"/>
              <w:rPr>
                <w:rFonts w:asciiTheme="majorHAnsi" w:hAnsiTheme="majorHAnsi" w:cstheme="majorHAnsi"/>
                <w:sz w:val="18"/>
                <w:szCs w:val="18"/>
              </w:rPr>
            </w:pPr>
            <w:r w:rsidRPr="00F8741C">
              <w:rPr>
                <w:rFonts w:asciiTheme="majorHAnsi" w:hAnsiTheme="majorHAnsi" w:cstheme="majorHAnsi"/>
                <w:sz w:val="18"/>
                <w:szCs w:val="18"/>
              </w:rPr>
              <w:t>3</w:t>
            </w:r>
          </w:p>
        </w:tc>
        <w:tc>
          <w:tcPr>
            <w:tcW w:w="8035" w:type="dxa"/>
          </w:tcPr>
          <w:p w14:paraId="4E4747A1" w14:textId="77777777" w:rsidR="00FA528B" w:rsidRPr="00F8741C" w:rsidRDefault="00FA528B" w:rsidP="009A406D">
            <w:pPr>
              <w:textAlignment w:val="top"/>
              <w:rPr>
                <w:rFonts w:asciiTheme="majorHAnsi" w:eastAsia="Times New Roman" w:hAnsiTheme="majorHAnsi" w:cstheme="majorHAnsi"/>
                <w:sz w:val="18"/>
                <w:szCs w:val="18"/>
              </w:rPr>
            </w:pPr>
            <w:r w:rsidRPr="00F8741C">
              <w:rPr>
                <w:rFonts w:asciiTheme="majorHAnsi" w:hAnsiTheme="majorHAnsi" w:cstheme="majorHAnsi"/>
                <w:sz w:val="18"/>
                <w:szCs w:val="18"/>
              </w:rPr>
              <w:t xml:space="preserve">Are you sending out newsletters or other marketing to your customers? </w:t>
            </w:r>
          </w:p>
        </w:tc>
      </w:tr>
      <w:tr w:rsidR="00FA528B" w:rsidRPr="00F8741C" w14:paraId="6474BBF9" w14:textId="77777777" w:rsidTr="009A406D">
        <w:trPr>
          <w:jc w:val="center"/>
        </w:trPr>
        <w:tc>
          <w:tcPr>
            <w:tcW w:w="465" w:type="dxa"/>
          </w:tcPr>
          <w:p w14:paraId="05FFB6EC" w14:textId="77777777" w:rsidR="00FA528B" w:rsidRPr="00F8741C" w:rsidRDefault="00FA528B" w:rsidP="009A406D">
            <w:pPr>
              <w:textAlignment w:val="top"/>
              <w:rPr>
                <w:rFonts w:asciiTheme="majorHAnsi" w:hAnsiTheme="majorHAnsi" w:cstheme="majorHAnsi"/>
                <w:sz w:val="18"/>
                <w:szCs w:val="18"/>
              </w:rPr>
            </w:pPr>
            <w:r w:rsidRPr="00F8741C">
              <w:rPr>
                <w:rFonts w:asciiTheme="majorHAnsi" w:hAnsiTheme="majorHAnsi" w:cstheme="majorHAnsi"/>
                <w:sz w:val="18"/>
                <w:szCs w:val="18"/>
              </w:rPr>
              <w:t>4</w:t>
            </w:r>
          </w:p>
        </w:tc>
        <w:tc>
          <w:tcPr>
            <w:tcW w:w="8035" w:type="dxa"/>
          </w:tcPr>
          <w:p w14:paraId="3E191CDA" w14:textId="77777777" w:rsidR="00FA528B" w:rsidRPr="00F8741C" w:rsidRDefault="00FA528B" w:rsidP="009A406D">
            <w:pPr>
              <w:textAlignment w:val="top"/>
              <w:rPr>
                <w:rFonts w:asciiTheme="majorHAnsi" w:eastAsia="Times New Roman" w:hAnsiTheme="majorHAnsi" w:cstheme="majorHAnsi"/>
                <w:sz w:val="18"/>
                <w:szCs w:val="18"/>
              </w:rPr>
            </w:pPr>
            <w:r w:rsidRPr="00F8741C">
              <w:rPr>
                <w:rFonts w:asciiTheme="majorHAnsi" w:hAnsiTheme="majorHAnsi" w:cstheme="majorHAnsi"/>
                <w:sz w:val="18"/>
                <w:szCs w:val="18"/>
              </w:rPr>
              <w:t>Do you have any kind of booking system where customers can book time with you?</w:t>
            </w:r>
          </w:p>
        </w:tc>
      </w:tr>
      <w:tr w:rsidR="00FA528B" w:rsidRPr="00F8741C" w14:paraId="2EB47675" w14:textId="77777777" w:rsidTr="009A406D">
        <w:trPr>
          <w:trHeight w:val="141"/>
          <w:jc w:val="center"/>
        </w:trPr>
        <w:tc>
          <w:tcPr>
            <w:tcW w:w="465" w:type="dxa"/>
          </w:tcPr>
          <w:p w14:paraId="6D5C250F" w14:textId="77777777" w:rsidR="00FA528B" w:rsidRPr="00F8741C" w:rsidRDefault="00FA528B" w:rsidP="009A406D">
            <w:pPr>
              <w:textAlignment w:val="top"/>
              <w:rPr>
                <w:rFonts w:asciiTheme="majorHAnsi" w:hAnsiTheme="majorHAnsi" w:cstheme="majorHAnsi"/>
                <w:sz w:val="18"/>
                <w:szCs w:val="18"/>
              </w:rPr>
            </w:pPr>
            <w:r w:rsidRPr="00F8741C">
              <w:rPr>
                <w:rFonts w:asciiTheme="majorHAnsi" w:hAnsiTheme="majorHAnsi" w:cstheme="majorHAnsi"/>
                <w:sz w:val="18"/>
                <w:szCs w:val="18"/>
              </w:rPr>
              <w:t>5</w:t>
            </w:r>
          </w:p>
        </w:tc>
        <w:tc>
          <w:tcPr>
            <w:tcW w:w="8035" w:type="dxa"/>
          </w:tcPr>
          <w:p w14:paraId="030695FB" w14:textId="77777777" w:rsidR="00FA528B" w:rsidRPr="00F8741C" w:rsidRDefault="00FA528B" w:rsidP="009A406D">
            <w:pPr>
              <w:textAlignment w:val="top"/>
              <w:rPr>
                <w:rFonts w:asciiTheme="majorHAnsi" w:eastAsia="Times New Roman" w:hAnsiTheme="majorHAnsi" w:cstheme="majorHAnsi"/>
                <w:sz w:val="18"/>
                <w:szCs w:val="18"/>
              </w:rPr>
            </w:pPr>
            <w:r w:rsidRPr="00F8741C">
              <w:rPr>
                <w:rFonts w:asciiTheme="majorHAnsi" w:hAnsiTheme="majorHAnsi" w:cstheme="majorHAnsi"/>
                <w:sz w:val="18"/>
                <w:szCs w:val="18"/>
              </w:rPr>
              <w:t>Do you have a register of your suppliers?</w:t>
            </w:r>
          </w:p>
        </w:tc>
      </w:tr>
      <w:tr w:rsidR="00FA528B" w:rsidRPr="00F8741C" w14:paraId="2951012D" w14:textId="77777777" w:rsidTr="009A406D">
        <w:trPr>
          <w:jc w:val="center"/>
        </w:trPr>
        <w:tc>
          <w:tcPr>
            <w:tcW w:w="465" w:type="dxa"/>
          </w:tcPr>
          <w:p w14:paraId="5C3129CA" w14:textId="77777777" w:rsidR="00FA528B" w:rsidRPr="00F8741C" w:rsidRDefault="00FA528B" w:rsidP="009A406D">
            <w:pPr>
              <w:textAlignment w:val="top"/>
              <w:rPr>
                <w:rFonts w:asciiTheme="majorHAnsi" w:hAnsiTheme="majorHAnsi" w:cstheme="majorHAnsi"/>
                <w:sz w:val="18"/>
                <w:szCs w:val="18"/>
              </w:rPr>
            </w:pPr>
            <w:r w:rsidRPr="00F8741C">
              <w:rPr>
                <w:rFonts w:asciiTheme="majorHAnsi" w:hAnsiTheme="majorHAnsi" w:cstheme="majorHAnsi"/>
                <w:sz w:val="18"/>
                <w:szCs w:val="18"/>
              </w:rPr>
              <w:t>6</w:t>
            </w:r>
          </w:p>
        </w:tc>
        <w:tc>
          <w:tcPr>
            <w:tcW w:w="8035" w:type="dxa"/>
          </w:tcPr>
          <w:p w14:paraId="651D1F92" w14:textId="77777777" w:rsidR="00FA528B" w:rsidRPr="00F8741C" w:rsidRDefault="00FA528B" w:rsidP="009A406D">
            <w:pPr>
              <w:textAlignment w:val="top"/>
              <w:rPr>
                <w:rFonts w:asciiTheme="majorHAnsi" w:eastAsia="Times New Roman" w:hAnsiTheme="majorHAnsi" w:cstheme="majorHAnsi"/>
                <w:sz w:val="18"/>
                <w:szCs w:val="18"/>
              </w:rPr>
            </w:pPr>
            <w:r w:rsidRPr="00F8741C">
              <w:rPr>
                <w:rFonts w:asciiTheme="majorHAnsi" w:eastAsia="Times New Roman" w:hAnsiTheme="majorHAnsi" w:cstheme="majorHAnsi"/>
                <w:sz w:val="18"/>
                <w:szCs w:val="18"/>
              </w:rPr>
              <w:t>Do you have employees and save data in a payroll system?</w:t>
            </w:r>
          </w:p>
        </w:tc>
      </w:tr>
      <w:tr w:rsidR="00FA528B" w:rsidRPr="00F8741C" w14:paraId="48AAC1EB" w14:textId="77777777" w:rsidTr="009A406D">
        <w:trPr>
          <w:jc w:val="center"/>
        </w:trPr>
        <w:tc>
          <w:tcPr>
            <w:tcW w:w="465" w:type="dxa"/>
          </w:tcPr>
          <w:p w14:paraId="23A6ECB9" w14:textId="77777777" w:rsidR="00FA528B" w:rsidRPr="00F8741C" w:rsidRDefault="00FA528B" w:rsidP="009A406D">
            <w:pPr>
              <w:textAlignment w:val="top"/>
              <w:rPr>
                <w:rFonts w:asciiTheme="majorHAnsi" w:hAnsiTheme="majorHAnsi" w:cstheme="majorHAnsi"/>
                <w:sz w:val="18"/>
                <w:szCs w:val="18"/>
              </w:rPr>
            </w:pPr>
            <w:r w:rsidRPr="00F8741C">
              <w:rPr>
                <w:rFonts w:asciiTheme="majorHAnsi" w:hAnsiTheme="majorHAnsi" w:cstheme="majorHAnsi"/>
                <w:sz w:val="18"/>
                <w:szCs w:val="18"/>
              </w:rPr>
              <w:t>7</w:t>
            </w:r>
          </w:p>
        </w:tc>
        <w:tc>
          <w:tcPr>
            <w:tcW w:w="8035" w:type="dxa"/>
          </w:tcPr>
          <w:p w14:paraId="55D432B9" w14:textId="77777777" w:rsidR="00FA528B" w:rsidRPr="00F8741C" w:rsidRDefault="00FA528B" w:rsidP="009A406D">
            <w:pPr>
              <w:textAlignment w:val="top"/>
              <w:rPr>
                <w:rFonts w:asciiTheme="majorHAnsi" w:eastAsia="Times New Roman" w:hAnsiTheme="majorHAnsi" w:cstheme="majorHAnsi"/>
                <w:sz w:val="18"/>
                <w:szCs w:val="18"/>
              </w:rPr>
            </w:pPr>
            <w:r w:rsidRPr="00F8741C">
              <w:rPr>
                <w:rFonts w:asciiTheme="majorHAnsi" w:hAnsiTheme="majorHAnsi" w:cstheme="majorHAnsi"/>
                <w:sz w:val="18"/>
                <w:szCs w:val="18"/>
              </w:rPr>
              <w:t>Do you have contact information and maybe a photo of some of your employees on your web?</w:t>
            </w:r>
          </w:p>
        </w:tc>
      </w:tr>
      <w:tr w:rsidR="00FA528B" w:rsidRPr="00F8741C" w14:paraId="5C78AA03" w14:textId="77777777" w:rsidTr="009A406D">
        <w:trPr>
          <w:jc w:val="center"/>
        </w:trPr>
        <w:tc>
          <w:tcPr>
            <w:tcW w:w="465" w:type="dxa"/>
          </w:tcPr>
          <w:p w14:paraId="59DE1EA0" w14:textId="77777777" w:rsidR="00FA528B" w:rsidRPr="00F8741C" w:rsidRDefault="00FA528B" w:rsidP="009A406D">
            <w:pPr>
              <w:textAlignment w:val="top"/>
              <w:rPr>
                <w:rFonts w:asciiTheme="majorHAnsi" w:hAnsiTheme="majorHAnsi" w:cstheme="majorHAnsi"/>
                <w:sz w:val="18"/>
                <w:szCs w:val="18"/>
              </w:rPr>
            </w:pPr>
            <w:r w:rsidRPr="00F8741C">
              <w:rPr>
                <w:rFonts w:asciiTheme="majorHAnsi" w:hAnsiTheme="majorHAnsi" w:cstheme="majorHAnsi"/>
                <w:sz w:val="18"/>
                <w:szCs w:val="18"/>
              </w:rPr>
              <w:t>8</w:t>
            </w:r>
          </w:p>
        </w:tc>
        <w:tc>
          <w:tcPr>
            <w:tcW w:w="8035" w:type="dxa"/>
          </w:tcPr>
          <w:p w14:paraId="3949BA31" w14:textId="77777777" w:rsidR="00FA528B" w:rsidRPr="00F8741C" w:rsidRDefault="00FA528B" w:rsidP="009A406D">
            <w:pPr>
              <w:textAlignment w:val="top"/>
              <w:rPr>
                <w:rFonts w:asciiTheme="majorHAnsi" w:eastAsia="Times New Roman" w:hAnsiTheme="majorHAnsi" w:cstheme="majorHAnsi"/>
                <w:sz w:val="18"/>
                <w:szCs w:val="18"/>
              </w:rPr>
            </w:pPr>
            <w:r w:rsidRPr="00F8741C">
              <w:rPr>
                <w:rFonts w:asciiTheme="majorHAnsi" w:hAnsiTheme="majorHAnsi" w:cstheme="majorHAnsi"/>
                <w:sz w:val="18"/>
                <w:szCs w:val="18"/>
              </w:rPr>
              <w:t>Have you decided how long information about your customers, suppliers and employees should be stored?</w:t>
            </w:r>
          </w:p>
        </w:tc>
      </w:tr>
      <w:tr w:rsidR="00FA528B" w:rsidRPr="00F8741C" w14:paraId="059A0876" w14:textId="77777777" w:rsidTr="009A406D">
        <w:trPr>
          <w:trHeight w:val="155"/>
          <w:jc w:val="center"/>
        </w:trPr>
        <w:tc>
          <w:tcPr>
            <w:tcW w:w="465" w:type="dxa"/>
          </w:tcPr>
          <w:p w14:paraId="1C1F287B" w14:textId="77777777" w:rsidR="00FA528B" w:rsidRPr="00F8741C" w:rsidRDefault="00FA528B" w:rsidP="009A406D">
            <w:pPr>
              <w:textAlignment w:val="top"/>
              <w:rPr>
                <w:rFonts w:asciiTheme="majorHAnsi" w:hAnsiTheme="majorHAnsi" w:cstheme="majorHAnsi"/>
                <w:sz w:val="18"/>
                <w:szCs w:val="18"/>
              </w:rPr>
            </w:pPr>
            <w:r w:rsidRPr="00F8741C">
              <w:rPr>
                <w:rFonts w:asciiTheme="majorHAnsi" w:hAnsiTheme="majorHAnsi" w:cstheme="majorHAnsi"/>
                <w:sz w:val="18"/>
                <w:szCs w:val="18"/>
              </w:rPr>
              <w:t>9</w:t>
            </w:r>
          </w:p>
        </w:tc>
        <w:tc>
          <w:tcPr>
            <w:tcW w:w="8035" w:type="dxa"/>
          </w:tcPr>
          <w:p w14:paraId="7260C608" w14:textId="77777777" w:rsidR="00FA528B" w:rsidRPr="00F8741C" w:rsidRDefault="00FA528B" w:rsidP="009A406D">
            <w:pPr>
              <w:textAlignment w:val="top"/>
              <w:rPr>
                <w:rFonts w:asciiTheme="majorHAnsi" w:eastAsia="Times New Roman" w:hAnsiTheme="majorHAnsi" w:cstheme="majorHAnsi"/>
                <w:sz w:val="18"/>
                <w:szCs w:val="18"/>
              </w:rPr>
            </w:pPr>
            <w:r w:rsidRPr="00F8741C">
              <w:rPr>
                <w:rFonts w:asciiTheme="majorHAnsi" w:hAnsiTheme="majorHAnsi" w:cstheme="majorHAnsi"/>
                <w:sz w:val="18"/>
                <w:szCs w:val="18"/>
              </w:rPr>
              <w:t>Do you protect the information about, for example, customers, suppliers and employees so that unauthorised persons cannot access them?</w:t>
            </w:r>
          </w:p>
        </w:tc>
      </w:tr>
    </w:tbl>
    <w:p w14:paraId="01434B8C" w14:textId="77777777" w:rsidR="00FA528B" w:rsidRPr="00F8741C" w:rsidRDefault="00FA528B" w:rsidP="00FA528B">
      <w:pPr>
        <w:rPr>
          <w:sz w:val="18"/>
          <w:szCs w:val="18"/>
        </w:rPr>
      </w:pPr>
    </w:p>
    <w:tbl>
      <w:tblPr>
        <w:tblStyle w:val="TableGrid"/>
        <w:tblW w:w="0" w:type="auto"/>
        <w:jc w:val="center"/>
        <w:tblLook w:val="04A0" w:firstRow="1" w:lastRow="0" w:firstColumn="1" w:lastColumn="0" w:noHBand="0" w:noVBand="1"/>
      </w:tblPr>
      <w:tblGrid>
        <w:gridCol w:w="318"/>
        <w:gridCol w:w="8182"/>
      </w:tblGrid>
      <w:tr w:rsidR="00FA528B" w:rsidRPr="00F8741C" w14:paraId="09DF7E11" w14:textId="77777777" w:rsidTr="009A406D">
        <w:trPr>
          <w:jc w:val="center"/>
        </w:trPr>
        <w:tc>
          <w:tcPr>
            <w:tcW w:w="318" w:type="dxa"/>
          </w:tcPr>
          <w:p w14:paraId="0DB5E193" w14:textId="77777777" w:rsidR="00FA528B" w:rsidRPr="00F8741C" w:rsidRDefault="00FA528B" w:rsidP="009A406D">
            <w:pPr>
              <w:jc w:val="center"/>
              <w:textAlignment w:val="top"/>
              <w:rPr>
                <w:rFonts w:asciiTheme="majorHAnsi" w:hAnsiTheme="majorHAnsi" w:cstheme="majorHAnsi"/>
                <w:b/>
                <w:bCs/>
                <w:sz w:val="18"/>
                <w:szCs w:val="18"/>
              </w:rPr>
            </w:pPr>
          </w:p>
        </w:tc>
        <w:tc>
          <w:tcPr>
            <w:tcW w:w="8182" w:type="dxa"/>
          </w:tcPr>
          <w:p w14:paraId="159B8239" w14:textId="77777777" w:rsidR="00FA528B" w:rsidRPr="00F8741C" w:rsidRDefault="00FA528B" w:rsidP="009A406D">
            <w:pPr>
              <w:jc w:val="center"/>
              <w:textAlignment w:val="top"/>
              <w:rPr>
                <w:rFonts w:asciiTheme="majorHAnsi" w:hAnsiTheme="majorHAnsi" w:cstheme="majorHAnsi"/>
                <w:b/>
                <w:bCs/>
                <w:sz w:val="18"/>
                <w:szCs w:val="18"/>
              </w:rPr>
            </w:pPr>
            <w:r w:rsidRPr="00F8741C">
              <w:rPr>
                <w:rFonts w:asciiTheme="majorHAnsi" w:hAnsiTheme="majorHAnsi" w:cstheme="majorHAnsi"/>
                <w:b/>
                <w:bCs/>
                <w:sz w:val="18"/>
                <w:szCs w:val="18"/>
              </w:rPr>
              <w:t>ICO</w:t>
            </w:r>
          </w:p>
        </w:tc>
      </w:tr>
      <w:tr w:rsidR="00FA528B" w:rsidRPr="00F8741C" w14:paraId="26D0F09A" w14:textId="77777777" w:rsidTr="00FA528B">
        <w:trPr>
          <w:trHeight w:val="199"/>
          <w:jc w:val="center"/>
        </w:trPr>
        <w:tc>
          <w:tcPr>
            <w:tcW w:w="318" w:type="dxa"/>
          </w:tcPr>
          <w:p w14:paraId="5DF41A98" w14:textId="77777777" w:rsidR="00FA528B" w:rsidRPr="00F8741C" w:rsidRDefault="00FA528B" w:rsidP="009A406D">
            <w:pPr>
              <w:pStyle w:val="Heading2"/>
              <w:pBdr>
                <w:left w:val="single" w:sz="48" w:space="8" w:color="FFF8D4"/>
              </w:pBdr>
              <w:spacing w:before="0" w:beforeAutospacing="0" w:after="240" w:afterAutospacing="0"/>
              <w:outlineLvl w:val="1"/>
              <w:rPr>
                <w:rFonts w:asciiTheme="majorHAnsi" w:hAnsiTheme="majorHAnsi" w:cstheme="majorHAnsi"/>
                <w:b w:val="0"/>
                <w:bCs w:val="0"/>
                <w:color w:val="000000"/>
                <w:sz w:val="18"/>
                <w:szCs w:val="18"/>
              </w:rPr>
            </w:pPr>
            <w:r w:rsidRPr="00F8741C">
              <w:rPr>
                <w:rFonts w:asciiTheme="majorHAnsi" w:hAnsiTheme="majorHAnsi" w:cstheme="majorHAnsi"/>
                <w:sz w:val="18"/>
                <w:szCs w:val="18"/>
              </w:rPr>
              <w:t>1</w:t>
            </w:r>
          </w:p>
        </w:tc>
        <w:tc>
          <w:tcPr>
            <w:tcW w:w="8182" w:type="dxa"/>
          </w:tcPr>
          <w:p w14:paraId="78AD1531" w14:textId="77777777" w:rsidR="00FA528B" w:rsidRPr="00F8741C" w:rsidRDefault="00FA528B" w:rsidP="009A406D">
            <w:pPr>
              <w:pStyle w:val="Heading2"/>
              <w:pBdr>
                <w:left w:val="single" w:sz="48" w:space="8" w:color="FFF8D4"/>
              </w:pBdr>
              <w:spacing w:before="0" w:beforeAutospacing="0" w:after="240" w:afterAutospacing="0"/>
              <w:outlineLvl w:val="1"/>
              <w:rPr>
                <w:rFonts w:asciiTheme="majorHAnsi" w:hAnsiTheme="majorHAnsi" w:cstheme="majorHAnsi"/>
                <w:b w:val="0"/>
                <w:bCs w:val="0"/>
                <w:color w:val="000000"/>
                <w:sz w:val="18"/>
                <w:szCs w:val="18"/>
              </w:rPr>
            </w:pPr>
            <w:r w:rsidRPr="00F8741C">
              <w:rPr>
                <w:rFonts w:asciiTheme="majorHAnsi" w:hAnsiTheme="majorHAnsi" w:cstheme="majorHAnsi"/>
                <w:b w:val="0"/>
                <w:bCs w:val="0"/>
                <w:color w:val="000000"/>
                <w:sz w:val="18"/>
                <w:szCs w:val="18"/>
              </w:rPr>
              <w:t>Do you have a record of what personal data you hold? Do you know what you use it for?</w:t>
            </w:r>
          </w:p>
          <w:p w14:paraId="2312E466" w14:textId="77777777" w:rsidR="00FA528B" w:rsidRPr="00F8741C" w:rsidRDefault="00FA528B" w:rsidP="009A406D">
            <w:pPr>
              <w:pStyle w:val="Heading2"/>
              <w:pBdr>
                <w:left w:val="single" w:sz="48" w:space="8" w:color="FFF8D4"/>
              </w:pBdr>
              <w:spacing w:before="0" w:beforeAutospacing="0" w:after="240" w:afterAutospacing="0"/>
              <w:ind w:left="-300"/>
              <w:outlineLvl w:val="1"/>
              <w:rPr>
                <w:rFonts w:asciiTheme="majorHAnsi" w:hAnsiTheme="majorHAnsi" w:cstheme="majorHAnsi"/>
                <w:sz w:val="18"/>
                <w:szCs w:val="18"/>
              </w:rPr>
            </w:pPr>
          </w:p>
        </w:tc>
      </w:tr>
      <w:tr w:rsidR="00FA528B" w:rsidRPr="00F8741C" w14:paraId="7ED9A509" w14:textId="77777777" w:rsidTr="009A406D">
        <w:trPr>
          <w:jc w:val="center"/>
        </w:trPr>
        <w:tc>
          <w:tcPr>
            <w:tcW w:w="318" w:type="dxa"/>
          </w:tcPr>
          <w:p w14:paraId="38AB0BBA" w14:textId="77777777" w:rsidR="00FA528B" w:rsidRPr="00F8741C" w:rsidRDefault="00FA528B" w:rsidP="009A406D">
            <w:pPr>
              <w:pStyle w:val="Heading2"/>
              <w:pBdr>
                <w:left w:val="single" w:sz="48" w:space="8" w:color="FFF8D4"/>
              </w:pBdr>
              <w:spacing w:before="0" w:beforeAutospacing="0" w:after="0" w:afterAutospacing="0"/>
              <w:outlineLvl w:val="1"/>
              <w:rPr>
                <w:rFonts w:asciiTheme="majorHAnsi" w:hAnsiTheme="majorHAnsi" w:cstheme="majorHAnsi"/>
                <w:b w:val="0"/>
                <w:bCs w:val="0"/>
                <w:color w:val="000000"/>
                <w:sz w:val="18"/>
                <w:szCs w:val="18"/>
              </w:rPr>
            </w:pPr>
            <w:r w:rsidRPr="00F8741C">
              <w:rPr>
                <w:rFonts w:asciiTheme="majorHAnsi" w:hAnsiTheme="majorHAnsi" w:cstheme="majorHAnsi"/>
                <w:sz w:val="18"/>
                <w:szCs w:val="18"/>
              </w:rPr>
              <w:lastRenderedPageBreak/>
              <w:t>2</w:t>
            </w:r>
          </w:p>
        </w:tc>
        <w:tc>
          <w:tcPr>
            <w:tcW w:w="8182" w:type="dxa"/>
          </w:tcPr>
          <w:p w14:paraId="14EDB8DD" w14:textId="77777777" w:rsidR="00FA528B" w:rsidRPr="00F8741C" w:rsidRDefault="00FA528B" w:rsidP="009A406D">
            <w:pPr>
              <w:pStyle w:val="Heading2"/>
              <w:pBdr>
                <w:left w:val="single" w:sz="48" w:space="8" w:color="FFF8D4"/>
              </w:pBdr>
              <w:spacing w:before="0" w:beforeAutospacing="0" w:after="0" w:afterAutospacing="0"/>
              <w:outlineLvl w:val="1"/>
              <w:rPr>
                <w:rFonts w:asciiTheme="majorHAnsi" w:hAnsiTheme="majorHAnsi" w:cstheme="majorHAnsi"/>
                <w:b w:val="0"/>
                <w:bCs w:val="0"/>
                <w:color w:val="000000"/>
                <w:sz w:val="18"/>
                <w:szCs w:val="18"/>
              </w:rPr>
            </w:pPr>
            <w:r w:rsidRPr="00F8741C">
              <w:rPr>
                <w:rFonts w:asciiTheme="majorHAnsi" w:hAnsiTheme="majorHAnsi" w:cstheme="majorHAnsi"/>
                <w:b w:val="0"/>
                <w:bCs w:val="0"/>
                <w:color w:val="000000"/>
                <w:sz w:val="18"/>
                <w:szCs w:val="18"/>
              </w:rPr>
              <w:t>Do people know you have their personal data and understand how you use it?</w:t>
            </w:r>
          </w:p>
        </w:tc>
      </w:tr>
      <w:tr w:rsidR="00FA528B" w:rsidRPr="00F8741C" w14:paraId="1D020795" w14:textId="77777777" w:rsidTr="009A406D">
        <w:trPr>
          <w:jc w:val="center"/>
        </w:trPr>
        <w:tc>
          <w:tcPr>
            <w:tcW w:w="318" w:type="dxa"/>
          </w:tcPr>
          <w:p w14:paraId="7E9D57A8" w14:textId="77777777" w:rsidR="00FA528B" w:rsidRPr="00F8741C" w:rsidRDefault="00FA528B" w:rsidP="009A406D">
            <w:pPr>
              <w:pStyle w:val="Heading2"/>
              <w:pBdr>
                <w:left w:val="single" w:sz="48" w:space="8" w:color="FFF8D4"/>
              </w:pBdr>
              <w:spacing w:before="0" w:beforeAutospacing="0" w:after="0" w:afterAutospacing="0"/>
              <w:outlineLvl w:val="1"/>
              <w:rPr>
                <w:rFonts w:asciiTheme="majorHAnsi" w:hAnsiTheme="majorHAnsi" w:cstheme="majorHAnsi"/>
                <w:b w:val="0"/>
                <w:bCs w:val="0"/>
                <w:color w:val="000000"/>
                <w:sz w:val="18"/>
                <w:szCs w:val="18"/>
              </w:rPr>
            </w:pPr>
            <w:r w:rsidRPr="00F8741C">
              <w:rPr>
                <w:rFonts w:asciiTheme="majorHAnsi" w:hAnsiTheme="majorHAnsi" w:cstheme="majorHAnsi"/>
                <w:sz w:val="18"/>
                <w:szCs w:val="18"/>
              </w:rPr>
              <w:t>3</w:t>
            </w:r>
          </w:p>
        </w:tc>
        <w:tc>
          <w:tcPr>
            <w:tcW w:w="8182" w:type="dxa"/>
          </w:tcPr>
          <w:p w14:paraId="7538BEF1" w14:textId="77777777" w:rsidR="00FA528B" w:rsidRPr="00F8741C" w:rsidRDefault="00FA528B" w:rsidP="009A406D">
            <w:pPr>
              <w:pStyle w:val="Heading2"/>
              <w:pBdr>
                <w:left w:val="single" w:sz="48" w:space="8" w:color="FFF8D4"/>
              </w:pBdr>
              <w:spacing w:before="0" w:beforeAutospacing="0" w:after="0" w:afterAutospacing="0"/>
              <w:outlineLvl w:val="1"/>
              <w:rPr>
                <w:rFonts w:asciiTheme="majorHAnsi" w:hAnsiTheme="majorHAnsi" w:cstheme="majorHAnsi"/>
                <w:b w:val="0"/>
                <w:bCs w:val="0"/>
                <w:color w:val="000000"/>
                <w:sz w:val="18"/>
                <w:szCs w:val="18"/>
              </w:rPr>
            </w:pPr>
            <w:r w:rsidRPr="00F8741C">
              <w:rPr>
                <w:rFonts w:asciiTheme="majorHAnsi" w:hAnsiTheme="majorHAnsi" w:cstheme="majorHAnsi"/>
                <w:b w:val="0"/>
                <w:bCs w:val="0"/>
                <w:color w:val="000000"/>
                <w:sz w:val="18"/>
                <w:szCs w:val="18"/>
              </w:rPr>
              <w:t>Do you only collect the personal data you need?</w:t>
            </w:r>
          </w:p>
        </w:tc>
      </w:tr>
      <w:tr w:rsidR="00FA528B" w:rsidRPr="00F8741C" w14:paraId="2D6A542C" w14:textId="77777777" w:rsidTr="009A406D">
        <w:trPr>
          <w:jc w:val="center"/>
        </w:trPr>
        <w:tc>
          <w:tcPr>
            <w:tcW w:w="318" w:type="dxa"/>
          </w:tcPr>
          <w:p w14:paraId="71E9A57C" w14:textId="77777777" w:rsidR="00FA528B" w:rsidRPr="00F8741C" w:rsidRDefault="00FA528B" w:rsidP="009A406D">
            <w:pPr>
              <w:pStyle w:val="Heading2"/>
              <w:pBdr>
                <w:left w:val="single" w:sz="48" w:space="8" w:color="FFF8D4"/>
              </w:pBdr>
              <w:spacing w:before="0" w:beforeAutospacing="0" w:after="0" w:afterAutospacing="0"/>
              <w:outlineLvl w:val="1"/>
              <w:rPr>
                <w:rFonts w:asciiTheme="majorHAnsi" w:hAnsiTheme="majorHAnsi" w:cstheme="majorHAnsi"/>
                <w:b w:val="0"/>
                <w:bCs w:val="0"/>
                <w:color w:val="000000"/>
                <w:sz w:val="18"/>
                <w:szCs w:val="18"/>
              </w:rPr>
            </w:pPr>
            <w:r w:rsidRPr="00F8741C">
              <w:rPr>
                <w:rFonts w:asciiTheme="majorHAnsi" w:hAnsiTheme="majorHAnsi" w:cstheme="majorHAnsi"/>
                <w:sz w:val="18"/>
                <w:szCs w:val="18"/>
              </w:rPr>
              <w:t>4</w:t>
            </w:r>
          </w:p>
        </w:tc>
        <w:tc>
          <w:tcPr>
            <w:tcW w:w="8182" w:type="dxa"/>
          </w:tcPr>
          <w:p w14:paraId="2B7E7564" w14:textId="77777777" w:rsidR="00FA528B" w:rsidRPr="00F8741C" w:rsidRDefault="00FA528B" w:rsidP="009A406D">
            <w:pPr>
              <w:pStyle w:val="Heading2"/>
              <w:pBdr>
                <w:left w:val="single" w:sz="48" w:space="8" w:color="FFF8D4"/>
              </w:pBdr>
              <w:spacing w:before="0" w:beforeAutospacing="0" w:after="0" w:afterAutospacing="0"/>
              <w:outlineLvl w:val="1"/>
              <w:rPr>
                <w:rFonts w:asciiTheme="majorHAnsi" w:hAnsiTheme="majorHAnsi" w:cstheme="majorHAnsi"/>
                <w:b w:val="0"/>
                <w:bCs w:val="0"/>
                <w:color w:val="000000"/>
                <w:sz w:val="18"/>
                <w:szCs w:val="18"/>
              </w:rPr>
            </w:pPr>
            <w:r w:rsidRPr="00F8741C">
              <w:rPr>
                <w:rFonts w:asciiTheme="majorHAnsi" w:hAnsiTheme="majorHAnsi" w:cstheme="majorHAnsi"/>
                <w:b w:val="0"/>
                <w:bCs w:val="0"/>
                <w:color w:val="000000"/>
                <w:sz w:val="18"/>
                <w:szCs w:val="18"/>
              </w:rPr>
              <w:t>Do you only keep personal data for as long as it is needed?</w:t>
            </w:r>
          </w:p>
        </w:tc>
      </w:tr>
      <w:tr w:rsidR="00FA528B" w:rsidRPr="00F8741C" w14:paraId="25DEFF55" w14:textId="77777777" w:rsidTr="00FA528B">
        <w:trPr>
          <w:trHeight w:val="151"/>
          <w:jc w:val="center"/>
        </w:trPr>
        <w:tc>
          <w:tcPr>
            <w:tcW w:w="318" w:type="dxa"/>
          </w:tcPr>
          <w:p w14:paraId="632BE377" w14:textId="77777777" w:rsidR="00FA528B" w:rsidRPr="00F8741C" w:rsidRDefault="00FA528B" w:rsidP="009A406D">
            <w:pPr>
              <w:pStyle w:val="Heading2"/>
              <w:pBdr>
                <w:left w:val="single" w:sz="48" w:space="8" w:color="FFF8D4"/>
              </w:pBdr>
              <w:spacing w:before="0" w:beforeAutospacing="0" w:after="0" w:afterAutospacing="0"/>
              <w:outlineLvl w:val="1"/>
              <w:rPr>
                <w:rFonts w:asciiTheme="majorHAnsi" w:hAnsiTheme="majorHAnsi" w:cstheme="majorHAnsi"/>
                <w:b w:val="0"/>
                <w:bCs w:val="0"/>
                <w:color w:val="000000"/>
                <w:sz w:val="18"/>
                <w:szCs w:val="18"/>
              </w:rPr>
            </w:pPr>
            <w:r w:rsidRPr="00F8741C">
              <w:rPr>
                <w:rFonts w:asciiTheme="majorHAnsi" w:hAnsiTheme="majorHAnsi" w:cstheme="majorHAnsi"/>
                <w:sz w:val="18"/>
                <w:szCs w:val="18"/>
              </w:rPr>
              <w:t>5</w:t>
            </w:r>
          </w:p>
        </w:tc>
        <w:tc>
          <w:tcPr>
            <w:tcW w:w="8182" w:type="dxa"/>
          </w:tcPr>
          <w:p w14:paraId="25C23103" w14:textId="77777777" w:rsidR="00FA528B" w:rsidRPr="00F8741C" w:rsidRDefault="00FA528B" w:rsidP="009A406D">
            <w:pPr>
              <w:pStyle w:val="Heading2"/>
              <w:pBdr>
                <w:left w:val="single" w:sz="48" w:space="8" w:color="FFF8D4"/>
              </w:pBdr>
              <w:spacing w:before="0" w:beforeAutospacing="0" w:after="0" w:afterAutospacing="0"/>
              <w:outlineLvl w:val="1"/>
              <w:rPr>
                <w:rFonts w:asciiTheme="majorHAnsi" w:hAnsiTheme="majorHAnsi" w:cstheme="majorHAnsi"/>
                <w:b w:val="0"/>
                <w:bCs w:val="0"/>
                <w:color w:val="000000"/>
                <w:sz w:val="18"/>
                <w:szCs w:val="18"/>
              </w:rPr>
            </w:pPr>
            <w:r w:rsidRPr="00F8741C">
              <w:rPr>
                <w:rFonts w:asciiTheme="majorHAnsi" w:hAnsiTheme="majorHAnsi" w:cstheme="majorHAnsi"/>
                <w:b w:val="0"/>
                <w:bCs w:val="0"/>
                <w:color w:val="000000"/>
                <w:sz w:val="18"/>
                <w:szCs w:val="18"/>
              </w:rPr>
              <w:t>Do you keep personal data accurate and up to date?</w:t>
            </w:r>
          </w:p>
        </w:tc>
      </w:tr>
      <w:tr w:rsidR="00FA528B" w:rsidRPr="00F8741C" w14:paraId="5421756A" w14:textId="77777777" w:rsidTr="009A406D">
        <w:trPr>
          <w:jc w:val="center"/>
        </w:trPr>
        <w:tc>
          <w:tcPr>
            <w:tcW w:w="318" w:type="dxa"/>
          </w:tcPr>
          <w:p w14:paraId="76F61F0A" w14:textId="77777777" w:rsidR="00FA528B" w:rsidRPr="00F8741C" w:rsidRDefault="00FA528B" w:rsidP="009A406D">
            <w:pPr>
              <w:pStyle w:val="Heading2"/>
              <w:pBdr>
                <w:left w:val="single" w:sz="48" w:space="8" w:color="FFF8D4"/>
              </w:pBdr>
              <w:spacing w:before="0" w:beforeAutospacing="0" w:after="0" w:afterAutospacing="0"/>
              <w:outlineLvl w:val="1"/>
              <w:rPr>
                <w:rFonts w:asciiTheme="majorHAnsi" w:hAnsiTheme="majorHAnsi" w:cstheme="majorHAnsi"/>
                <w:b w:val="0"/>
                <w:bCs w:val="0"/>
                <w:color w:val="000000"/>
                <w:sz w:val="18"/>
                <w:szCs w:val="18"/>
              </w:rPr>
            </w:pPr>
            <w:r w:rsidRPr="00F8741C">
              <w:rPr>
                <w:rFonts w:asciiTheme="majorHAnsi" w:hAnsiTheme="majorHAnsi" w:cstheme="majorHAnsi"/>
                <w:sz w:val="18"/>
                <w:szCs w:val="18"/>
              </w:rPr>
              <w:t>6</w:t>
            </w:r>
          </w:p>
        </w:tc>
        <w:tc>
          <w:tcPr>
            <w:tcW w:w="8182" w:type="dxa"/>
          </w:tcPr>
          <w:p w14:paraId="5B11C78E" w14:textId="77777777" w:rsidR="00FA528B" w:rsidRPr="00F8741C" w:rsidRDefault="00FA528B" w:rsidP="009A406D">
            <w:pPr>
              <w:pStyle w:val="Heading2"/>
              <w:pBdr>
                <w:left w:val="single" w:sz="48" w:space="8" w:color="FFF8D4"/>
              </w:pBdr>
              <w:spacing w:before="0" w:beforeAutospacing="0" w:after="0" w:afterAutospacing="0"/>
              <w:outlineLvl w:val="1"/>
              <w:rPr>
                <w:rFonts w:asciiTheme="majorHAnsi" w:hAnsiTheme="majorHAnsi" w:cstheme="majorHAnsi"/>
                <w:b w:val="0"/>
                <w:bCs w:val="0"/>
                <w:color w:val="000000"/>
                <w:sz w:val="18"/>
                <w:szCs w:val="18"/>
              </w:rPr>
            </w:pPr>
            <w:r w:rsidRPr="00F8741C">
              <w:rPr>
                <w:rFonts w:asciiTheme="majorHAnsi" w:hAnsiTheme="majorHAnsi" w:cstheme="majorHAnsi"/>
                <w:b w:val="0"/>
                <w:bCs w:val="0"/>
                <w:color w:val="000000"/>
                <w:sz w:val="18"/>
                <w:szCs w:val="18"/>
              </w:rPr>
              <w:t>Do you keep personal data secure?</w:t>
            </w:r>
          </w:p>
        </w:tc>
      </w:tr>
      <w:tr w:rsidR="00FA528B" w:rsidRPr="00F8741C" w14:paraId="1D261A10" w14:textId="77777777" w:rsidTr="009A406D">
        <w:trPr>
          <w:jc w:val="center"/>
        </w:trPr>
        <w:tc>
          <w:tcPr>
            <w:tcW w:w="318" w:type="dxa"/>
          </w:tcPr>
          <w:p w14:paraId="22A253C1" w14:textId="77777777" w:rsidR="00FA528B" w:rsidRPr="00F8741C" w:rsidRDefault="00FA528B" w:rsidP="009A406D">
            <w:pPr>
              <w:pStyle w:val="Heading2"/>
              <w:pBdr>
                <w:left w:val="single" w:sz="48" w:space="8" w:color="FFF8D4"/>
              </w:pBdr>
              <w:spacing w:before="0" w:beforeAutospacing="0" w:after="0" w:afterAutospacing="0"/>
              <w:outlineLvl w:val="1"/>
              <w:rPr>
                <w:rFonts w:asciiTheme="majorHAnsi" w:hAnsiTheme="majorHAnsi" w:cstheme="majorHAnsi"/>
                <w:b w:val="0"/>
                <w:bCs w:val="0"/>
                <w:color w:val="000000"/>
                <w:sz w:val="18"/>
                <w:szCs w:val="18"/>
              </w:rPr>
            </w:pPr>
            <w:r w:rsidRPr="00F8741C">
              <w:rPr>
                <w:rFonts w:asciiTheme="majorHAnsi" w:hAnsiTheme="majorHAnsi" w:cstheme="majorHAnsi"/>
                <w:sz w:val="18"/>
                <w:szCs w:val="18"/>
              </w:rPr>
              <w:t>7</w:t>
            </w:r>
          </w:p>
        </w:tc>
        <w:tc>
          <w:tcPr>
            <w:tcW w:w="8182" w:type="dxa"/>
          </w:tcPr>
          <w:p w14:paraId="4873CA56" w14:textId="77777777" w:rsidR="00FA528B" w:rsidRPr="00F8741C" w:rsidRDefault="00FA528B" w:rsidP="009A406D">
            <w:pPr>
              <w:pStyle w:val="Heading2"/>
              <w:pBdr>
                <w:left w:val="single" w:sz="48" w:space="8" w:color="FFF8D4"/>
              </w:pBdr>
              <w:spacing w:before="0" w:beforeAutospacing="0" w:after="0" w:afterAutospacing="0"/>
              <w:outlineLvl w:val="1"/>
              <w:rPr>
                <w:rFonts w:asciiTheme="majorHAnsi" w:hAnsiTheme="majorHAnsi" w:cstheme="majorHAnsi"/>
                <w:b w:val="0"/>
                <w:bCs w:val="0"/>
                <w:color w:val="000000"/>
                <w:sz w:val="18"/>
                <w:szCs w:val="18"/>
              </w:rPr>
            </w:pPr>
            <w:r w:rsidRPr="00F8741C">
              <w:rPr>
                <w:rFonts w:asciiTheme="majorHAnsi" w:hAnsiTheme="majorHAnsi" w:cstheme="majorHAnsi"/>
                <w:b w:val="0"/>
                <w:bCs w:val="0"/>
                <w:color w:val="000000"/>
                <w:sz w:val="18"/>
                <w:szCs w:val="18"/>
              </w:rPr>
              <w:t>Do you have a way for people to exercise their rights regarding the personal data you hold about them?</w:t>
            </w:r>
          </w:p>
        </w:tc>
      </w:tr>
      <w:tr w:rsidR="00FA528B" w:rsidRPr="00F8741C" w14:paraId="6D8A416C" w14:textId="77777777" w:rsidTr="009A406D">
        <w:trPr>
          <w:jc w:val="center"/>
        </w:trPr>
        <w:tc>
          <w:tcPr>
            <w:tcW w:w="318" w:type="dxa"/>
          </w:tcPr>
          <w:p w14:paraId="59C2A2F7" w14:textId="77777777" w:rsidR="00FA528B" w:rsidRPr="00F8741C" w:rsidRDefault="00FA528B" w:rsidP="009A406D">
            <w:pPr>
              <w:pStyle w:val="Heading2"/>
              <w:pBdr>
                <w:left w:val="single" w:sz="48" w:space="8" w:color="FFF8D4"/>
              </w:pBdr>
              <w:spacing w:before="0" w:beforeAutospacing="0" w:after="0" w:afterAutospacing="0"/>
              <w:outlineLvl w:val="1"/>
              <w:rPr>
                <w:rFonts w:asciiTheme="majorHAnsi" w:hAnsiTheme="majorHAnsi" w:cstheme="majorHAnsi"/>
                <w:b w:val="0"/>
                <w:bCs w:val="0"/>
                <w:color w:val="000000"/>
                <w:sz w:val="18"/>
                <w:szCs w:val="18"/>
              </w:rPr>
            </w:pPr>
            <w:r w:rsidRPr="00F8741C">
              <w:rPr>
                <w:rFonts w:asciiTheme="majorHAnsi" w:hAnsiTheme="majorHAnsi" w:cstheme="majorHAnsi"/>
                <w:sz w:val="18"/>
                <w:szCs w:val="18"/>
              </w:rPr>
              <w:t>8</w:t>
            </w:r>
          </w:p>
        </w:tc>
        <w:tc>
          <w:tcPr>
            <w:tcW w:w="8182" w:type="dxa"/>
          </w:tcPr>
          <w:p w14:paraId="1AF2BEB1" w14:textId="77777777" w:rsidR="00FA528B" w:rsidRPr="00F8741C" w:rsidRDefault="00FA528B" w:rsidP="009A406D">
            <w:pPr>
              <w:pStyle w:val="Heading2"/>
              <w:pBdr>
                <w:left w:val="single" w:sz="48" w:space="8" w:color="FFF8D4"/>
              </w:pBdr>
              <w:spacing w:before="0" w:beforeAutospacing="0" w:after="0" w:afterAutospacing="0"/>
              <w:outlineLvl w:val="1"/>
              <w:rPr>
                <w:rFonts w:asciiTheme="majorHAnsi" w:hAnsiTheme="majorHAnsi" w:cstheme="majorHAnsi"/>
                <w:b w:val="0"/>
                <w:bCs w:val="0"/>
                <w:color w:val="000000"/>
                <w:sz w:val="18"/>
                <w:szCs w:val="18"/>
              </w:rPr>
            </w:pPr>
            <w:r w:rsidRPr="00F8741C">
              <w:rPr>
                <w:rFonts w:asciiTheme="majorHAnsi" w:hAnsiTheme="majorHAnsi" w:cstheme="majorHAnsi"/>
                <w:b w:val="0"/>
                <w:bCs w:val="0"/>
                <w:color w:val="000000"/>
                <w:sz w:val="18"/>
                <w:szCs w:val="18"/>
              </w:rPr>
              <w:t>Do you and your staff (if you have any) know your data protection responsibilities?</w:t>
            </w:r>
          </w:p>
        </w:tc>
      </w:tr>
    </w:tbl>
    <w:p w14:paraId="5AD63B21" w14:textId="77777777" w:rsidR="000E104A" w:rsidRPr="00F8741C" w:rsidRDefault="000E104A" w:rsidP="000E104A">
      <w:pPr>
        <w:textAlignment w:val="top"/>
        <w:rPr>
          <w:rFonts w:asciiTheme="majorHAnsi" w:eastAsia="Times New Roman" w:hAnsiTheme="majorHAnsi" w:cstheme="majorHAnsi"/>
          <w:sz w:val="24"/>
          <w:szCs w:val="24"/>
        </w:rPr>
      </w:pPr>
    </w:p>
    <w:p w14:paraId="0D91A15B" w14:textId="0B2BC8E8" w:rsidR="00817245" w:rsidRPr="00F8741C" w:rsidRDefault="00817245" w:rsidP="00B3137D">
      <w:pPr>
        <w:rPr>
          <w:rFonts w:asciiTheme="majorHAnsi" w:hAnsiTheme="majorHAnsi" w:cstheme="majorHAnsi"/>
          <w:sz w:val="24"/>
          <w:szCs w:val="24"/>
        </w:rPr>
      </w:pPr>
      <w:r w:rsidRPr="00F8741C">
        <w:rPr>
          <w:rFonts w:asciiTheme="majorHAnsi" w:hAnsiTheme="majorHAnsi" w:cstheme="majorHAnsi"/>
          <w:sz w:val="24"/>
          <w:szCs w:val="24"/>
        </w:rPr>
        <w:t>b) Templates</w:t>
      </w:r>
    </w:p>
    <w:p w14:paraId="7D694B4C" w14:textId="5AB07AFC" w:rsidR="00B3137D" w:rsidRPr="00F8741C" w:rsidRDefault="00B3137D" w:rsidP="00994BE0">
      <w:r w:rsidRPr="00F8741C">
        <w:t>In terms of tools and templates however</w:t>
      </w:r>
      <w:r w:rsidR="00824674" w:rsidRPr="00F8741C">
        <w:t>,</w:t>
      </w:r>
      <w:r w:rsidRPr="00F8741C">
        <w:t xml:space="preserve"> the SME specific guidance was variable. The ICO</w:t>
      </w:r>
      <w:r w:rsidR="0050005A">
        <w:t xml:space="preserve"> (UK DPA)</w:t>
      </w:r>
      <w:r w:rsidRPr="00F8741C">
        <w:t xml:space="preserve"> provides a </w:t>
      </w:r>
      <w:r w:rsidRPr="00F8741C">
        <w:rPr>
          <w:i/>
        </w:rPr>
        <w:t>privacy notice</w:t>
      </w:r>
      <w:r w:rsidRPr="00F8741C">
        <w:t xml:space="preserve"> template easily accessible from the SME section of its website,</w:t>
      </w:r>
      <w:r w:rsidR="00824674" w:rsidRPr="00F8741C">
        <w:rPr>
          <w:rStyle w:val="FootnoteReference"/>
          <w:rFonts w:asciiTheme="majorHAnsi" w:hAnsiTheme="majorHAnsi" w:cstheme="majorHAnsi"/>
          <w:sz w:val="24"/>
          <w:szCs w:val="24"/>
        </w:rPr>
        <w:footnoteReference w:id="51"/>
      </w:r>
      <w:r w:rsidRPr="00F8741C">
        <w:t xml:space="preserve"> VDAI </w:t>
      </w:r>
      <w:r w:rsidR="0050005A">
        <w:t xml:space="preserve">(Lithuanian DPA) </w:t>
      </w:r>
      <w:r w:rsidRPr="00F8741C">
        <w:t xml:space="preserve">provides a link in its guidance to a sample </w:t>
      </w:r>
      <w:r w:rsidRPr="00F8741C">
        <w:rPr>
          <w:i/>
          <w:iCs/>
        </w:rPr>
        <w:t>data protection impact assessment form</w:t>
      </w:r>
      <w:r w:rsidRPr="00F8741C">
        <w:t>,</w:t>
      </w:r>
      <w:r w:rsidRPr="00F8741C">
        <w:rPr>
          <w:rStyle w:val="FootnoteReference"/>
          <w:rFonts w:asciiTheme="majorHAnsi" w:hAnsiTheme="majorHAnsi" w:cstheme="majorHAnsi"/>
          <w:sz w:val="24"/>
          <w:szCs w:val="24"/>
        </w:rPr>
        <w:footnoteReference w:id="52"/>
      </w:r>
      <w:r w:rsidRPr="00F8741C">
        <w:t xml:space="preserve"> and the IP</w:t>
      </w:r>
      <w:r w:rsidR="0050005A">
        <w:t xml:space="preserve"> (Slovenian DPA)</w:t>
      </w:r>
      <w:r w:rsidRPr="00F8741C">
        <w:t xml:space="preserve"> includes</w:t>
      </w:r>
      <w:r w:rsidR="00824674" w:rsidRPr="00F8741C">
        <w:t xml:space="preserve"> </w:t>
      </w:r>
      <w:r w:rsidRPr="00F8741C">
        <w:t>template</w:t>
      </w:r>
      <w:r w:rsidR="00824674" w:rsidRPr="00F8741C">
        <w:t>s of the:</w:t>
      </w:r>
      <w:r w:rsidRPr="00F8741C">
        <w:t xml:space="preserve"> </w:t>
      </w:r>
      <w:r w:rsidRPr="00F8741C">
        <w:rPr>
          <w:i/>
        </w:rPr>
        <w:t>Notice to individual of processing activities</w:t>
      </w:r>
      <w:r w:rsidRPr="00F8741C">
        <w:t xml:space="preserve"> </w:t>
      </w:r>
      <w:r w:rsidRPr="00F8741C">
        <w:rPr>
          <w:iCs/>
        </w:rPr>
        <w:t>(Articles 13 and 14 GDPR)</w:t>
      </w:r>
      <w:r w:rsidR="00824674" w:rsidRPr="00F8741C">
        <w:rPr>
          <w:iCs/>
        </w:rPr>
        <w:t>;</w:t>
      </w:r>
      <w:r w:rsidRPr="00F8741C">
        <w:rPr>
          <w:iCs/>
        </w:rPr>
        <w:t xml:space="preserve"> </w:t>
      </w:r>
      <w:r w:rsidRPr="00F8741C">
        <w:rPr>
          <w:i/>
        </w:rPr>
        <w:t xml:space="preserve">Record of Processing Activities </w:t>
      </w:r>
      <w:r w:rsidRPr="00F8741C">
        <w:t>(versions for both Controllers and Processers) under Article 30 GDPR</w:t>
      </w:r>
      <w:r w:rsidR="00824674" w:rsidRPr="00F8741C">
        <w:t>;</w:t>
      </w:r>
      <w:r w:rsidRPr="00F8741C">
        <w:rPr>
          <w:i/>
        </w:rPr>
        <w:t xml:space="preserve"> Notification of Breach </w:t>
      </w:r>
      <w:r w:rsidRPr="00F8741C">
        <w:rPr>
          <w:iCs/>
        </w:rPr>
        <w:t>(Article 33 GDPR)</w:t>
      </w:r>
      <w:r w:rsidR="00824674" w:rsidRPr="00F8741C">
        <w:rPr>
          <w:iCs/>
        </w:rPr>
        <w:t>;</w:t>
      </w:r>
      <w:r w:rsidRPr="00F8741C">
        <w:rPr>
          <w:i/>
        </w:rPr>
        <w:t xml:space="preserve"> </w:t>
      </w:r>
      <w:r w:rsidRPr="00F8741C">
        <w:t>and</w:t>
      </w:r>
      <w:r w:rsidR="00824674" w:rsidRPr="00F8741C">
        <w:t>,</w:t>
      </w:r>
      <w:r w:rsidRPr="00F8741C">
        <w:t xml:space="preserve"> </w:t>
      </w:r>
      <w:r w:rsidRPr="00F8741C">
        <w:rPr>
          <w:i/>
        </w:rPr>
        <w:t>Appointment of DPO</w:t>
      </w:r>
      <w:r w:rsidRPr="00F8741C">
        <w:t>.</w:t>
      </w:r>
      <w:r w:rsidRPr="00F8741C">
        <w:rPr>
          <w:rStyle w:val="FootnoteReference"/>
          <w:rFonts w:asciiTheme="majorHAnsi" w:hAnsiTheme="majorHAnsi" w:cstheme="majorHAnsi"/>
          <w:sz w:val="24"/>
          <w:szCs w:val="24"/>
        </w:rPr>
        <w:footnoteReference w:id="53"/>
      </w:r>
    </w:p>
    <w:p w14:paraId="7373822B" w14:textId="1BBF59AD" w:rsidR="009C50DA" w:rsidRPr="00F8741C" w:rsidRDefault="00B3137D" w:rsidP="00994BE0">
      <w:r w:rsidRPr="00F8741C">
        <w:t xml:space="preserve">An especially notable tool is </w:t>
      </w:r>
      <w:r w:rsidRPr="00F8741C">
        <w:rPr>
          <w:i/>
        </w:rPr>
        <w:t xml:space="preserve">Facilita </w:t>
      </w:r>
      <w:r w:rsidRPr="00F8741C">
        <w:t>(in Spanish) provided by the AEPD</w:t>
      </w:r>
      <w:r w:rsidR="0050005A">
        <w:t xml:space="preserve"> (Spanish DPA)</w:t>
      </w:r>
      <w:r w:rsidRPr="00F8741C">
        <w:t>.  This tool goes to the length of generating the minimum documents necessary for GDPR compliance for businesses or persons that process personal data where there is a low risk to the rights and freedoms of data subjects. These documents include everything from information clauses, information signs such as for video surveillance, register of processing activities and contracts for third party processors, and are generated already populated with the company information provided.</w:t>
      </w:r>
      <w:r w:rsidRPr="00F8741C">
        <w:rPr>
          <w:rStyle w:val="FootnoteReference"/>
          <w:rFonts w:asciiTheme="majorHAnsi" w:hAnsiTheme="majorHAnsi" w:cstheme="majorHAnsi"/>
          <w:sz w:val="24"/>
          <w:szCs w:val="24"/>
        </w:rPr>
        <w:footnoteReference w:id="54"/>
      </w:r>
      <w:r w:rsidRPr="00F8741C">
        <w:t xml:space="preserve">  The documents also include an information annex outlining data subject rights and the minimum organisational and technical measures that should be implemented, including relevant links such as to the National Institute for Cyber Security.  Before using the tool to generate the tailored documents, </w:t>
      </w:r>
      <w:r w:rsidRPr="00F8741C">
        <w:rPr>
          <w:i/>
        </w:rPr>
        <w:t xml:space="preserve">Facilita </w:t>
      </w:r>
      <w:r w:rsidRPr="00F8741C">
        <w:t xml:space="preserve">first takes businesses through a series of questions to confirm that the organisation is not engaged in sensitive data or higher risk processing activities. </w:t>
      </w:r>
    </w:p>
    <w:p w14:paraId="0159FAC9" w14:textId="4457E667" w:rsidR="00817245" w:rsidRPr="00F8741C" w:rsidRDefault="00817245">
      <w:pPr>
        <w:rPr>
          <w:rFonts w:asciiTheme="majorHAnsi" w:hAnsiTheme="majorHAnsi" w:cstheme="majorHAnsi"/>
          <w:sz w:val="24"/>
          <w:szCs w:val="24"/>
        </w:rPr>
      </w:pPr>
    </w:p>
    <w:p w14:paraId="726CCB55" w14:textId="7EEB0A90" w:rsidR="00DE6FC5" w:rsidRPr="00F8741C" w:rsidRDefault="00952A1B" w:rsidP="00697CAE">
      <w:pPr>
        <w:pStyle w:val="ListParagraph"/>
        <w:numPr>
          <w:ilvl w:val="0"/>
          <w:numId w:val="5"/>
        </w:numPr>
        <w:rPr>
          <w:rFonts w:asciiTheme="majorHAnsi" w:hAnsiTheme="majorHAnsi" w:cstheme="majorHAnsi"/>
          <w:b/>
          <w:sz w:val="24"/>
          <w:szCs w:val="24"/>
        </w:rPr>
      </w:pPr>
      <w:r w:rsidRPr="00F8741C">
        <w:rPr>
          <w:rFonts w:asciiTheme="majorHAnsi" w:hAnsiTheme="majorHAnsi" w:cstheme="majorHAnsi"/>
          <w:b/>
          <w:sz w:val="24"/>
          <w:szCs w:val="24"/>
        </w:rPr>
        <w:t>Hotline</w:t>
      </w:r>
      <w:r w:rsidR="00261162">
        <w:rPr>
          <w:rFonts w:asciiTheme="majorHAnsi" w:hAnsiTheme="majorHAnsi" w:cstheme="majorHAnsi"/>
          <w:b/>
          <w:sz w:val="24"/>
          <w:szCs w:val="24"/>
        </w:rPr>
        <w:t>s and</w:t>
      </w:r>
      <w:r w:rsidRPr="00F8741C">
        <w:rPr>
          <w:rFonts w:asciiTheme="majorHAnsi" w:hAnsiTheme="majorHAnsi" w:cstheme="majorHAnsi"/>
          <w:b/>
          <w:sz w:val="24"/>
          <w:szCs w:val="24"/>
        </w:rPr>
        <w:t xml:space="preserve"> Advice Services</w:t>
      </w:r>
    </w:p>
    <w:p w14:paraId="75B7873C" w14:textId="4E70AF43" w:rsidR="00561D7F" w:rsidRPr="00F8741C" w:rsidRDefault="001A60E4" w:rsidP="00994BE0">
      <w:r w:rsidRPr="00F8741C">
        <w:t>In addition to guidance</w:t>
      </w:r>
      <w:r w:rsidR="001435E7" w:rsidRPr="00F8741C">
        <w:t xml:space="preserve"> materials prepared independently or in cooperation with others that are made available through websites of national</w:t>
      </w:r>
      <w:r w:rsidR="003B6EEE" w:rsidRPr="00F8741C">
        <w:t xml:space="preserve"> data protection</w:t>
      </w:r>
      <w:r w:rsidR="001435E7" w:rsidRPr="00F8741C">
        <w:t xml:space="preserve"> authorities</w:t>
      </w:r>
      <w:r w:rsidRPr="00F8741C">
        <w:t xml:space="preserve">, most of the DPAs have set up hotline advice services. </w:t>
      </w:r>
      <w:r w:rsidR="001435E7" w:rsidRPr="00F8741C">
        <w:t>Such service</w:t>
      </w:r>
      <w:r w:rsidR="00D61340" w:rsidRPr="00F8741C">
        <w:t>s, w</w:t>
      </w:r>
      <w:r w:rsidRPr="00F8741C">
        <w:t>hile</w:t>
      </w:r>
      <w:r w:rsidR="00D61340" w:rsidRPr="00F8741C">
        <w:t xml:space="preserve"> </w:t>
      </w:r>
      <w:r w:rsidRPr="00F8741C">
        <w:t xml:space="preserve">developed </w:t>
      </w:r>
      <w:r w:rsidR="00D61340" w:rsidRPr="00F8741C">
        <w:t>taking into account capacity and resources of national DPA</w:t>
      </w:r>
      <w:r w:rsidR="0002589A" w:rsidRPr="00F8741C">
        <w:t>s</w:t>
      </w:r>
      <w:r w:rsidR="00D61340" w:rsidRPr="00F8741C">
        <w:t>, contribute to the overall awareness raising effort</w:t>
      </w:r>
      <w:r w:rsidR="003B6EEE" w:rsidRPr="00F8741C">
        <w:t xml:space="preserve"> concerning the GDPR compliance.</w:t>
      </w:r>
      <w:r w:rsidR="00D61340" w:rsidRPr="00F8741C">
        <w:t xml:space="preserve"> </w:t>
      </w:r>
    </w:p>
    <w:p w14:paraId="73B111F5" w14:textId="3C906827" w:rsidR="003B6EEE" w:rsidRPr="00F8741C" w:rsidRDefault="003B6EEE" w:rsidP="00994BE0">
      <w:r w:rsidRPr="00F8741C">
        <w:t>As with the GDPR guidance materials, most of the interviewed DPAs responded that they did not consult with other DPAs when establishing their respective hotline/helpdesks. Similar references were made to cooperation at EU level and awareness of other services but only a small number stating directly that they consulted other DPAs before setting up the hotline/helpdesk.</w:t>
      </w:r>
    </w:p>
    <w:p w14:paraId="221E82D5" w14:textId="2C1D7CEF" w:rsidR="003B6EEE" w:rsidRPr="00F8741C" w:rsidRDefault="003B6EEE" w:rsidP="00994BE0">
      <w:r w:rsidRPr="00F8741C">
        <w:t xml:space="preserve">All interviewed DPAs had a public facing helpline or helpdesk service which SMEs could use to contact the DPA. For all DPAs, a telephone service was in operation. Just under half of the </w:t>
      </w:r>
      <w:r w:rsidRPr="00F8741C">
        <w:lastRenderedPageBreak/>
        <w:t xml:space="preserve">interviewees/respondents also referred to an additional email service which for some could then also lead to an in-person consultation depending on the specific issue raised. No DPAs referred to an email service without an accompanying telephone service. Importantly, however, one DPA did not frame their service as a helpline or helpdesk but rather informed </w:t>
      </w:r>
      <w:r w:rsidR="00273927">
        <w:t xml:space="preserve">us </w:t>
      </w:r>
      <w:r w:rsidRPr="00F8741C">
        <w:t>that they answer queries through their general contact details.</w:t>
      </w:r>
      <w:r w:rsidRPr="00F8741C">
        <w:rPr>
          <w:rStyle w:val="FootnoteReference"/>
          <w:rFonts w:asciiTheme="majorHAnsi" w:hAnsiTheme="majorHAnsi" w:cstheme="majorHAnsi"/>
          <w:sz w:val="24"/>
          <w:szCs w:val="24"/>
        </w:rPr>
        <w:footnoteReference w:id="55"/>
      </w:r>
      <w:r w:rsidRPr="00F8741C">
        <w:t xml:space="preserve"> This DPA emphasised that they did not provide legal advice, nor even specific advice but rather a response to the general question. This was considered important so as not to limit the SME’s individualised solution or give the impression that there was only one available solution. </w:t>
      </w:r>
      <w:r w:rsidR="000E2B69">
        <w:t xml:space="preserve">This is a fundamental </w:t>
      </w:r>
      <w:r w:rsidR="00D06007">
        <w:t xml:space="preserve">philosophy of advice, which can differ between DPAs and does limit some of the available strategies. </w:t>
      </w:r>
    </w:p>
    <w:p w14:paraId="57EF334D" w14:textId="0E9AFC22" w:rsidR="001A60E4" w:rsidRPr="00F8741C" w:rsidRDefault="003D52EE" w:rsidP="00994BE0">
      <w:r w:rsidRPr="00F8741C">
        <w:t>A</w:t>
      </w:r>
      <w:r w:rsidR="003B6EEE" w:rsidRPr="00F8741C">
        <w:t xml:space="preserve">lthough the overwhelming majority of these services were also accessible to the general public, data controllers, and SMEs on an equal basis, a few interviewees/respondents </w:t>
      </w:r>
      <w:r w:rsidR="004F202B">
        <w:t>did suggest</w:t>
      </w:r>
      <w:r w:rsidR="004F202B" w:rsidRPr="00F8741C">
        <w:t xml:space="preserve"> </w:t>
      </w:r>
      <w:r w:rsidR="003B6EEE" w:rsidRPr="00F8741C">
        <w:t xml:space="preserve">that SMEs account for a large proportion of these calls and that it is a key way they have become familiar with the issues of concern to SMEs. </w:t>
      </w:r>
      <w:r w:rsidR="00751039">
        <w:t>Most DPAs do not have specialist SME contact methods, because they do not believe it to be necessary</w:t>
      </w:r>
      <w:r w:rsidR="001059D9">
        <w:t xml:space="preserve"> or a good investment of resources. </w:t>
      </w:r>
      <w:r w:rsidR="003B6EEE" w:rsidRPr="00F8741C">
        <w:t xml:space="preserve"> </w:t>
      </w:r>
      <w:r w:rsidR="001059D9">
        <w:t>T</w:t>
      </w:r>
      <w:r w:rsidR="003B6EEE" w:rsidRPr="00F8741C">
        <w:t>he</w:t>
      </w:r>
      <w:r w:rsidR="001059D9">
        <w:t xml:space="preserve"> hypothetical</w:t>
      </w:r>
      <w:r w:rsidR="003B6EEE" w:rsidRPr="00F8741C">
        <w:t xml:space="preserve"> limiting factors </w:t>
      </w:r>
      <w:r w:rsidR="001059D9">
        <w:t>for</w:t>
      </w:r>
      <w:r w:rsidR="003B6EEE" w:rsidRPr="00F8741C">
        <w:t xml:space="preserve"> success are capacity and expertise rather than awareness or indeed the need for SME specific advice</w:t>
      </w:r>
      <w:r w:rsidR="001059D9">
        <w:t xml:space="preserve"> channels</w:t>
      </w:r>
      <w:r w:rsidR="003B6EEE" w:rsidRPr="00F8741C">
        <w:t xml:space="preserve">. </w:t>
      </w:r>
    </w:p>
    <w:p w14:paraId="76275A61" w14:textId="5E2ACD36" w:rsidR="001A60E4" w:rsidRPr="00F8741C" w:rsidRDefault="00805AFA" w:rsidP="00994BE0">
      <w:r>
        <w:t>SME Associations</w:t>
      </w:r>
      <w:r w:rsidR="008314ED">
        <w:t xml:space="preserve"> had a different perspective. </w:t>
      </w:r>
      <w:r w:rsidR="005819B2" w:rsidRPr="00F8741C">
        <w:t xml:space="preserve">They claimed that </w:t>
      </w:r>
      <w:r w:rsidR="001A60E4" w:rsidRPr="00F8741C">
        <w:t>DPA</w:t>
      </w:r>
      <w:r w:rsidR="005819B2" w:rsidRPr="00F8741C">
        <w:t>s are hard to reach and that in response to their queries they do</w:t>
      </w:r>
      <w:r w:rsidR="001A60E4" w:rsidRPr="00F8741C">
        <w:t xml:space="preserve"> </w:t>
      </w:r>
      <w:r w:rsidR="0002589A" w:rsidRPr="00F8741C">
        <w:t xml:space="preserve">not </w:t>
      </w:r>
      <w:r w:rsidR="005819B2" w:rsidRPr="00F8741C">
        <w:t>receive</w:t>
      </w:r>
      <w:r w:rsidR="001A60E4" w:rsidRPr="00F8741C">
        <w:t xml:space="preserve"> concrete</w:t>
      </w:r>
      <w:r w:rsidR="0002589A" w:rsidRPr="00F8741C">
        <w:t xml:space="preserve"> and timely</w:t>
      </w:r>
      <w:r w:rsidR="001A60E4" w:rsidRPr="00F8741C">
        <w:t xml:space="preserve"> answers</w:t>
      </w:r>
      <w:r w:rsidR="005819B2" w:rsidRPr="00F8741C">
        <w:t xml:space="preserve">. The other </w:t>
      </w:r>
      <w:r w:rsidR="00400059">
        <w:t>criticism</w:t>
      </w:r>
      <w:r w:rsidR="00400059" w:rsidRPr="00F8741C">
        <w:t xml:space="preserve"> </w:t>
      </w:r>
      <w:r w:rsidR="005819B2" w:rsidRPr="00F8741C">
        <w:t>put forward was that k</w:t>
      </w:r>
      <w:r w:rsidR="001A60E4" w:rsidRPr="00F8741C">
        <w:t>nowledge level of the DPA staff responding to queries tends to vary</w:t>
      </w:r>
      <w:r w:rsidR="005819B2" w:rsidRPr="00F8741C">
        <w:t xml:space="preserve"> and therefore there are situations when c</w:t>
      </w:r>
      <w:r w:rsidR="001A60E4" w:rsidRPr="00F8741C">
        <w:t xml:space="preserve">onflicting guidance </w:t>
      </w:r>
      <w:r w:rsidR="005819B2" w:rsidRPr="00F8741C">
        <w:t>is provided</w:t>
      </w:r>
      <w:r w:rsidR="0002589A" w:rsidRPr="00F8741C">
        <w:t xml:space="preserve"> in response to the same matter</w:t>
      </w:r>
      <w:r w:rsidR="005819B2" w:rsidRPr="00F8741C">
        <w:t xml:space="preserve"> </w:t>
      </w:r>
      <w:r w:rsidR="001A60E4" w:rsidRPr="00F8741C">
        <w:t>(either internally contradictory or a national DPA contradicting guidance from the EPBD, for example).</w:t>
      </w:r>
    </w:p>
    <w:p w14:paraId="377C3B81" w14:textId="2B0F7AF1" w:rsidR="00A044EC" w:rsidRPr="00001DDE" w:rsidRDefault="00A044EC" w:rsidP="005819B2">
      <w:r w:rsidRPr="00F8741C">
        <w:t>In the following section we consider how the</w:t>
      </w:r>
      <w:r w:rsidR="008F7616" w:rsidRPr="00F8741C">
        <w:t xml:space="preserve"> position of</w:t>
      </w:r>
      <w:r w:rsidRPr="00F8741C">
        <w:t xml:space="preserve"> DPA </w:t>
      </w:r>
      <w:r w:rsidR="008F7616" w:rsidRPr="00F8741C">
        <w:t>representatives c</w:t>
      </w:r>
      <w:r w:rsidR="0002589A" w:rsidRPr="00F8741C">
        <w:t>ould</w:t>
      </w:r>
      <w:r w:rsidR="008F7616" w:rsidRPr="00F8741C">
        <w:t xml:space="preserve"> be reconciled with disappointments over DPA awareness raising efforts that we learned from SME representatives.</w:t>
      </w:r>
      <w:r w:rsidR="00EE78C7" w:rsidRPr="00F8741C">
        <w:t xml:space="preserve"> We build this section on the findings of the interviews with DPAs and SME representatives, which seem to indicate that communication between DPAs and SMEs has not followed a smooth road. For DPAs reaching out to SMEs concerned with the GDPR compliance has not always been easy because of numerous reasons, such as the DPAs are not aware </w:t>
      </w:r>
      <w:r w:rsidR="000B5586">
        <w:t>of the different needs of SMEs across different sectors</w:t>
      </w:r>
      <w:r w:rsidR="00EE78C7" w:rsidRPr="00F8741C">
        <w:t xml:space="preserve"> or they are overwhelmed with the enforcement or </w:t>
      </w:r>
      <w:r w:rsidR="0002589A" w:rsidRPr="00F8741C">
        <w:t xml:space="preserve">they </w:t>
      </w:r>
      <w:r w:rsidR="00EE78C7" w:rsidRPr="00F8741C">
        <w:t>lack resources for such awareness campaigns. Yet it seems that without having any direct contact with SMEs, it is difficult for DPAs to identify distinctive needs of these enterprises. Consequently, it means that isolated DPAs efforts to overcome SMEs disappointment over general guidance issued by DPAs and the functioning of hotlines may have little impact.</w:t>
      </w:r>
      <w:r w:rsidR="00DE31FE">
        <w:t xml:space="preserve"> </w:t>
      </w:r>
      <w:r w:rsidR="00E17097">
        <w:t xml:space="preserve">There is an obvious limit to how much DPAs can meet the desires of </w:t>
      </w:r>
      <w:r w:rsidR="00805AFA">
        <w:t>SME Associations</w:t>
      </w:r>
      <w:r w:rsidR="00E17097">
        <w:t xml:space="preserve"> and their members, as they are not service organisations purely for SMEs. </w:t>
      </w:r>
    </w:p>
    <w:p w14:paraId="033FFC45" w14:textId="580DB9A3" w:rsidR="00B3137D" w:rsidRPr="00F8741C" w:rsidRDefault="00B3137D"/>
    <w:p w14:paraId="219782BA" w14:textId="015583B0" w:rsidR="00952A1B" w:rsidRPr="00F8741C" w:rsidRDefault="005819B2" w:rsidP="00AA2023">
      <w:pPr>
        <w:pStyle w:val="ListParagraph"/>
        <w:numPr>
          <w:ilvl w:val="0"/>
          <w:numId w:val="11"/>
        </w:numPr>
        <w:rPr>
          <w:rFonts w:asciiTheme="majorHAnsi" w:hAnsiTheme="majorHAnsi" w:cstheme="majorHAnsi"/>
          <w:b/>
          <w:sz w:val="26"/>
          <w:szCs w:val="26"/>
        </w:rPr>
      </w:pPr>
      <w:r w:rsidRPr="00F8741C">
        <w:rPr>
          <w:rFonts w:asciiTheme="majorHAnsi" w:hAnsiTheme="majorHAnsi" w:cstheme="majorHAnsi"/>
          <w:b/>
          <w:sz w:val="26"/>
          <w:szCs w:val="26"/>
        </w:rPr>
        <w:t>Outlook</w:t>
      </w:r>
      <w:r w:rsidR="00952A1B" w:rsidRPr="00F8741C">
        <w:rPr>
          <w:rFonts w:asciiTheme="majorHAnsi" w:hAnsiTheme="majorHAnsi" w:cstheme="majorHAnsi"/>
          <w:b/>
          <w:sz w:val="26"/>
          <w:szCs w:val="26"/>
        </w:rPr>
        <w:t xml:space="preserve"> </w:t>
      </w:r>
      <w:r w:rsidRPr="00F8741C">
        <w:rPr>
          <w:rFonts w:asciiTheme="majorHAnsi" w:hAnsiTheme="majorHAnsi" w:cstheme="majorHAnsi"/>
          <w:b/>
          <w:sz w:val="26"/>
          <w:szCs w:val="26"/>
        </w:rPr>
        <w:t>for</w:t>
      </w:r>
      <w:r w:rsidR="00952A1B" w:rsidRPr="00F8741C">
        <w:rPr>
          <w:rFonts w:asciiTheme="majorHAnsi" w:hAnsiTheme="majorHAnsi" w:cstheme="majorHAnsi"/>
          <w:b/>
          <w:sz w:val="26"/>
          <w:szCs w:val="26"/>
        </w:rPr>
        <w:t xml:space="preserve"> </w:t>
      </w:r>
      <w:r w:rsidRPr="00F8741C">
        <w:rPr>
          <w:rFonts w:asciiTheme="majorHAnsi" w:hAnsiTheme="majorHAnsi" w:cstheme="majorHAnsi"/>
          <w:b/>
          <w:sz w:val="26"/>
          <w:szCs w:val="26"/>
        </w:rPr>
        <w:t>r</w:t>
      </w:r>
      <w:r w:rsidR="00952A1B" w:rsidRPr="00F8741C">
        <w:rPr>
          <w:rFonts w:asciiTheme="majorHAnsi" w:hAnsiTheme="majorHAnsi" w:cstheme="majorHAnsi"/>
          <w:b/>
          <w:sz w:val="26"/>
          <w:szCs w:val="26"/>
        </w:rPr>
        <w:t xml:space="preserve">aising </w:t>
      </w:r>
      <w:r w:rsidRPr="00F8741C">
        <w:rPr>
          <w:rFonts w:asciiTheme="majorHAnsi" w:hAnsiTheme="majorHAnsi" w:cstheme="majorHAnsi"/>
          <w:b/>
          <w:sz w:val="26"/>
          <w:szCs w:val="26"/>
        </w:rPr>
        <w:t>a</w:t>
      </w:r>
      <w:r w:rsidR="00952A1B" w:rsidRPr="00F8741C">
        <w:rPr>
          <w:rFonts w:asciiTheme="majorHAnsi" w:hAnsiTheme="majorHAnsi" w:cstheme="majorHAnsi"/>
          <w:b/>
          <w:sz w:val="26"/>
          <w:szCs w:val="26"/>
        </w:rPr>
        <w:t>wareness through</w:t>
      </w:r>
      <w:r w:rsidRPr="00F8741C">
        <w:rPr>
          <w:rFonts w:asciiTheme="majorHAnsi" w:hAnsiTheme="majorHAnsi" w:cstheme="majorHAnsi"/>
          <w:b/>
          <w:sz w:val="26"/>
          <w:szCs w:val="26"/>
        </w:rPr>
        <w:t xml:space="preserve"> </w:t>
      </w:r>
      <w:r w:rsidR="00E37C0E">
        <w:rPr>
          <w:rFonts w:asciiTheme="majorHAnsi" w:hAnsiTheme="majorHAnsi" w:cstheme="majorHAnsi"/>
          <w:b/>
          <w:sz w:val="26"/>
          <w:szCs w:val="26"/>
        </w:rPr>
        <w:t>fostering</w:t>
      </w:r>
      <w:r w:rsidR="00E37C0E" w:rsidRPr="00F8741C">
        <w:rPr>
          <w:rFonts w:asciiTheme="majorHAnsi" w:hAnsiTheme="majorHAnsi" w:cstheme="majorHAnsi"/>
          <w:b/>
          <w:sz w:val="26"/>
          <w:szCs w:val="26"/>
        </w:rPr>
        <w:t xml:space="preserve"> </w:t>
      </w:r>
      <w:r w:rsidR="009A406D" w:rsidRPr="00F8741C">
        <w:rPr>
          <w:rFonts w:asciiTheme="majorHAnsi" w:hAnsiTheme="majorHAnsi" w:cstheme="majorHAnsi"/>
          <w:b/>
          <w:sz w:val="26"/>
          <w:szCs w:val="26"/>
        </w:rPr>
        <w:t>relations between</w:t>
      </w:r>
      <w:r w:rsidRPr="00F8741C">
        <w:rPr>
          <w:rFonts w:asciiTheme="majorHAnsi" w:hAnsiTheme="majorHAnsi" w:cstheme="majorHAnsi"/>
          <w:b/>
          <w:sz w:val="26"/>
          <w:szCs w:val="26"/>
        </w:rPr>
        <w:t xml:space="preserve"> DPAs and</w:t>
      </w:r>
      <w:r w:rsidR="00952A1B" w:rsidRPr="00F8741C">
        <w:rPr>
          <w:rFonts w:asciiTheme="majorHAnsi" w:hAnsiTheme="majorHAnsi" w:cstheme="majorHAnsi"/>
          <w:b/>
          <w:sz w:val="26"/>
          <w:szCs w:val="26"/>
        </w:rPr>
        <w:t xml:space="preserve"> </w:t>
      </w:r>
      <w:r w:rsidR="00805AFA">
        <w:rPr>
          <w:rFonts w:asciiTheme="majorHAnsi" w:hAnsiTheme="majorHAnsi" w:cstheme="majorHAnsi"/>
          <w:b/>
          <w:sz w:val="26"/>
          <w:szCs w:val="26"/>
        </w:rPr>
        <w:t>SME Associations</w:t>
      </w:r>
      <w:r w:rsidR="008E4791">
        <w:rPr>
          <w:rStyle w:val="FootnoteReference"/>
          <w:rFonts w:asciiTheme="majorHAnsi" w:hAnsiTheme="majorHAnsi" w:cstheme="majorHAnsi"/>
          <w:b/>
          <w:sz w:val="26"/>
          <w:szCs w:val="26"/>
        </w:rPr>
        <w:footnoteReference w:id="56"/>
      </w:r>
    </w:p>
    <w:p w14:paraId="74CCFBF2" w14:textId="6E142E22" w:rsidR="008F7616" w:rsidRPr="00F8741C" w:rsidRDefault="0053605A" w:rsidP="00994BE0">
      <w:r w:rsidRPr="00F8741C">
        <w:t xml:space="preserve">While it is evident that DPAs should seek for an alternative way </w:t>
      </w:r>
      <w:r w:rsidR="00F22B8A" w:rsidRPr="00F8741C">
        <w:t>to satisfy their obligation to raise awareness about data protection</w:t>
      </w:r>
      <w:r w:rsidRPr="00F8741C">
        <w:t xml:space="preserve"> and </w:t>
      </w:r>
      <w:r w:rsidR="0009723F">
        <w:t>dissemination information widely</w:t>
      </w:r>
      <w:r w:rsidRPr="00F8741C">
        <w:t xml:space="preserve"> among SMEs, </w:t>
      </w:r>
      <w:r w:rsidR="00F22B8A" w:rsidRPr="00F8741C">
        <w:t xml:space="preserve">the question </w:t>
      </w:r>
      <w:r w:rsidRPr="00F8741C">
        <w:t>remains open:</w:t>
      </w:r>
      <w:r w:rsidR="00F22B8A" w:rsidRPr="00F8741C">
        <w:t xml:space="preserve"> how DPAs </w:t>
      </w:r>
      <w:r w:rsidR="00B76378" w:rsidRPr="00F8741C">
        <w:t xml:space="preserve">with limited resources </w:t>
      </w:r>
      <w:r w:rsidR="00F22B8A" w:rsidRPr="00F8741C">
        <w:t>c</w:t>
      </w:r>
      <w:r w:rsidRPr="00F8741C">
        <w:t>ould</w:t>
      </w:r>
      <w:r w:rsidR="00F22B8A" w:rsidRPr="00F8741C">
        <w:t xml:space="preserve"> aid</w:t>
      </w:r>
      <w:r w:rsidR="00B3137D" w:rsidRPr="00F8741C">
        <w:t xml:space="preserve"> SMEs </w:t>
      </w:r>
      <w:r w:rsidR="00F22B8A" w:rsidRPr="00F8741C">
        <w:t>with</w:t>
      </w:r>
      <w:r w:rsidR="00B3137D" w:rsidRPr="00F8741C">
        <w:t xml:space="preserve"> a clear and targeted </w:t>
      </w:r>
      <w:r w:rsidR="00F22B8A" w:rsidRPr="00F8741C">
        <w:t>guidance that would allow to</w:t>
      </w:r>
      <w:r w:rsidR="00B3137D" w:rsidRPr="00F8741C">
        <w:t xml:space="preserve"> begin their GDPR compliance journey. </w:t>
      </w:r>
    </w:p>
    <w:p w14:paraId="1AF8117F" w14:textId="2EDDBB0C" w:rsidR="00DA358F" w:rsidRPr="00F8741C" w:rsidRDefault="0053605A" w:rsidP="00994BE0">
      <w:pPr>
        <w:rPr>
          <w:b/>
        </w:rPr>
      </w:pPr>
      <w:r w:rsidRPr="00F8741C">
        <w:t>The answer to this question</w:t>
      </w:r>
      <w:r w:rsidR="009511E4" w:rsidRPr="00F8741C">
        <w:t xml:space="preserve"> to some extent</w:t>
      </w:r>
      <w:r w:rsidR="00B3137D" w:rsidRPr="00F8741C">
        <w:t xml:space="preserve"> became apparent during the STAR II intervi</w:t>
      </w:r>
      <w:r w:rsidR="00EA3CEC" w:rsidRPr="00F8741C">
        <w:t xml:space="preserve">ews </w:t>
      </w:r>
      <w:r w:rsidR="0002589A" w:rsidRPr="00F8741C">
        <w:t>with</w:t>
      </w:r>
      <w:r w:rsidR="00EA3CEC" w:rsidRPr="00F8741C">
        <w:t xml:space="preserve"> </w:t>
      </w:r>
      <w:r w:rsidR="00805AFA">
        <w:t>SME Associations</w:t>
      </w:r>
      <w:r w:rsidR="009511E4" w:rsidRPr="00F8741C">
        <w:t xml:space="preserve">. There is a good reason to believe </w:t>
      </w:r>
      <w:r w:rsidR="00660611">
        <w:t xml:space="preserve">such associations </w:t>
      </w:r>
      <w:r w:rsidR="009511E4" w:rsidRPr="00F8741C">
        <w:t>they</w:t>
      </w:r>
      <w:r w:rsidR="00EA3CEC" w:rsidRPr="00F8741C">
        <w:t xml:space="preserve"> could </w:t>
      </w:r>
      <w:r w:rsidR="00B3137D" w:rsidRPr="00F8741C">
        <w:t xml:space="preserve">play a crucial role in assisting DPAs to maximise awareness of these resources and indeed other DPA awareness raising </w:t>
      </w:r>
      <w:r w:rsidR="00B3137D" w:rsidRPr="00F8741C">
        <w:lastRenderedPageBreak/>
        <w:t xml:space="preserve">efforts. </w:t>
      </w:r>
      <w:r w:rsidR="00EA3CEC" w:rsidRPr="00F8741C">
        <w:t xml:space="preserve">Although </w:t>
      </w:r>
      <w:r w:rsidR="00805AFA">
        <w:t>SME Associations</w:t>
      </w:r>
      <w:r w:rsidR="00EA3CEC" w:rsidRPr="00F8741C">
        <w:t xml:space="preserve"> do not form a significant part of the SME architecture in all EU Member States (</w:t>
      </w:r>
      <w:r w:rsidR="00C10C96">
        <w:t>for example, they are not particularly prominent in</w:t>
      </w:r>
      <w:r w:rsidR="00EA3CEC" w:rsidRPr="00F8741C">
        <w:t xml:space="preserve"> Hungary</w:t>
      </w:r>
      <w:r w:rsidR="009511E4" w:rsidRPr="00F8741C">
        <w:t xml:space="preserve"> or Lithuanian</w:t>
      </w:r>
      <w:r w:rsidR="00EA3CEC" w:rsidRPr="00F8741C">
        <w:t xml:space="preserve">), in others, such as Denmark or the UK, </w:t>
      </w:r>
      <w:r w:rsidR="00805AFA">
        <w:t>SME Associations</w:t>
      </w:r>
      <w:r w:rsidR="00B3137D" w:rsidRPr="00F8741C">
        <w:t xml:space="preserve"> </w:t>
      </w:r>
      <w:r w:rsidR="00EA3CEC" w:rsidRPr="00F8741C">
        <w:t xml:space="preserve">form an </w:t>
      </w:r>
      <w:r w:rsidR="00B3137D" w:rsidRPr="00F8741C">
        <w:t>integral</w:t>
      </w:r>
      <w:r w:rsidR="00EA3CEC" w:rsidRPr="00F8741C">
        <w:t xml:space="preserve"> part of the </w:t>
      </w:r>
      <w:r w:rsidR="00B3137D" w:rsidRPr="00F8741C">
        <w:t xml:space="preserve">SME </w:t>
      </w:r>
      <w:r w:rsidR="00EA3CEC" w:rsidRPr="00F8741C">
        <w:t>landscape leading to the conclusion concerning their potential to assist DPAs in fulfilling their awareness rai</w:t>
      </w:r>
      <w:r w:rsidR="00B3137D" w:rsidRPr="00F8741C">
        <w:t>sing</w:t>
      </w:r>
      <w:r w:rsidR="00EA3CEC" w:rsidRPr="00F8741C">
        <w:t xml:space="preserve"> obligations</w:t>
      </w:r>
      <w:r w:rsidR="00B3137D" w:rsidRPr="00F8741C">
        <w:t xml:space="preserve">.  </w:t>
      </w:r>
    </w:p>
    <w:p w14:paraId="45E64709" w14:textId="456349BA" w:rsidR="00F4218C" w:rsidRPr="00F8741C" w:rsidRDefault="00DA358F" w:rsidP="0002589A">
      <w:r w:rsidRPr="00F8741C">
        <w:t xml:space="preserve">In terms of the </w:t>
      </w:r>
      <w:r w:rsidR="00EA3CEC" w:rsidRPr="00F8741C">
        <w:t>benefit</w:t>
      </w:r>
      <w:r w:rsidRPr="00F8741C">
        <w:t xml:space="preserve"> </w:t>
      </w:r>
      <w:r w:rsidR="00805AFA">
        <w:t>SME Associations</w:t>
      </w:r>
      <w:r w:rsidR="00EA3CEC" w:rsidRPr="00F8741C">
        <w:t xml:space="preserve"> can bring</w:t>
      </w:r>
      <w:r w:rsidRPr="00F8741C">
        <w:t xml:space="preserve">, the point is two-fold. First, the activities in which </w:t>
      </w:r>
      <w:r w:rsidR="00805AFA">
        <w:t>SME Associations</w:t>
      </w:r>
      <w:r w:rsidRPr="00F8741C">
        <w:t xml:space="preserve"> have </w:t>
      </w:r>
      <w:r w:rsidR="008B4BBD">
        <w:t>overlapping interests</w:t>
      </w:r>
      <w:r w:rsidRPr="00F8741C">
        <w:t xml:space="preserve"> with the obligations placed on DPAs to raise awareness about the GDPR among SMEs. Second, </w:t>
      </w:r>
      <w:r w:rsidR="00805AFA">
        <w:t>SME Associations</w:t>
      </w:r>
      <w:r w:rsidRPr="00F8741C">
        <w:t xml:space="preserve"> have open communication channels with SMEs</w:t>
      </w:r>
      <w:r w:rsidR="00EA3CEC" w:rsidRPr="00F8741C">
        <w:t>,</w:t>
      </w:r>
      <w:r w:rsidRPr="00F8741C">
        <w:t xml:space="preserve"> </w:t>
      </w:r>
      <w:r w:rsidR="00EA3CEC" w:rsidRPr="00F8741C">
        <w:t xml:space="preserve">which </w:t>
      </w:r>
      <w:r w:rsidRPr="00F8741C">
        <w:t>can be exploited to raise awareness of the GDPR.</w:t>
      </w:r>
      <w:r w:rsidR="00F4218C" w:rsidRPr="00F8741C">
        <w:t xml:space="preserve"> We further advance these arguments in the following sub-sections. </w:t>
      </w:r>
    </w:p>
    <w:p w14:paraId="2A019C78" w14:textId="0D103054" w:rsidR="00DA358F" w:rsidRPr="00F8741C" w:rsidRDefault="00C34F4B" w:rsidP="00E051E1">
      <w:pPr>
        <w:pStyle w:val="ListParagraph"/>
        <w:numPr>
          <w:ilvl w:val="0"/>
          <w:numId w:val="9"/>
        </w:numPr>
        <w:rPr>
          <w:rFonts w:asciiTheme="majorHAnsi" w:hAnsiTheme="majorHAnsi" w:cstheme="majorHAnsi"/>
          <w:b/>
          <w:sz w:val="24"/>
          <w:szCs w:val="24"/>
        </w:rPr>
      </w:pPr>
      <w:r w:rsidRPr="00F8741C">
        <w:rPr>
          <w:rFonts w:asciiTheme="majorHAnsi" w:hAnsiTheme="majorHAnsi" w:cstheme="majorHAnsi"/>
          <w:b/>
          <w:sz w:val="24"/>
          <w:szCs w:val="24"/>
        </w:rPr>
        <w:t xml:space="preserve">Overlapping interests: </w:t>
      </w:r>
      <w:r w:rsidR="00DA358F" w:rsidRPr="00F8741C">
        <w:rPr>
          <w:rFonts w:asciiTheme="majorHAnsi" w:hAnsiTheme="majorHAnsi" w:cstheme="majorHAnsi"/>
          <w:b/>
          <w:sz w:val="24"/>
          <w:szCs w:val="24"/>
        </w:rPr>
        <w:t>Awareness</w:t>
      </w:r>
      <w:r w:rsidR="001F262E" w:rsidRPr="00F8741C">
        <w:rPr>
          <w:rFonts w:asciiTheme="majorHAnsi" w:hAnsiTheme="majorHAnsi" w:cstheme="majorHAnsi"/>
          <w:b/>
          <w:sz w:val="24"/>
          <w:szCs w:val="24"/>
        </w:rPr>
        <w:t xml:space="preserve"> </w:t>
      </w:r>
      <w:r w:rsidRPr="00F8741C">
        <w:rPr>
          <w:rFonts w:asciiTheme="majorHAnsi" w:hAnsiTheme="majorHAnsi" w:cstheme="majorHAnsi"/>
          <w:b/>
          <w:sz w:val="24"/>
          <w:szCs w:val="24"/>
        </w:rPr>
        <w:t>r</w:t>
      </w:r>
      <w:r w:rsidR="00DA358F" w:rsidRPr="00F8741C">
        <w:rPr>
          <w:rFonts w:asciiTheme="majorHAnsi" w:hAnsiTheme="majorHAnsi" w:cstheme="majorHAnsi"/>
          <w:b/>
          <w:sz w:val="24"/>
          <w:szCs w:val="24"/>
        </w:rPr>
        <w:t>aising</w:t>
      </w:r>
      <w:r w:rsidR="001F262E" w:rsidRPr="00F8741C">
        <w:rPr>
          <w:rFonts w:asciiTheme="majorHAnsi" w:hAnsiTheme="majorHAnsi" w:cstheme="majorHAnsi"/>
          <w:b/>
          <w:sz w:val="24"/>
          <w:szCs w:val="24"/>
        </w:rPr>
        <w:t xml:space="preserve"> is </w:t>
      </w:r>
      <w:r w:rsidR="0002589A" w:rsidRPr="00F8741C">
        <w:rPr>
          <w:rFonts w:asciiTheme="majorHAnsi" w:hAnsiTheme="majorHAnsi" w:cstheme="majorHAnsi"/>
          <w:b/>
          <w:sz w:val="24"/>
          <w:szCs w:val="24"/>
        </w:rPr>
        <w:t xml:space="preserve">a </w:t>
      </w:r>
      <w:r w:rsidR="001F262E" w:rsidRPr="00F8741C">
        <w:rPr>
          <w:rFonts w:asciiTheme="majorHAnsi" w:hAnsiTheme="majorHAnsi" w:cstheme="majorHAnsi"/>
          <w:b/>
          <w:sz w:val="24"/>
          <w:szCs w:val="24"/>
        </w:rPr>
        <w:t>shared</w:t>
      </w:r>
      <w:r w:rsidRPr="00F8741C">
        <w:rPr>
          <w:rFonts w:asciiTheme="majorHAnsi" w:hAnsiTheme="majorHAnsi" w:cstheme="majorHAnsi"/>
          <w:b/>
          <w:sz w:val="24"/>
          <w:szCs w:val="24"/>
        </w:rPr>
        <w:t xml:space="preserve"> priority for </w:t>
      </w:r>
      <w:r w:rsidR="00805AFA">
        <w:rPr>
          <w:rFonts w:asciiTheme="majorHAnsi" w:hAnsiTheme="majorHAnsi" w:cstheme="majorHAnsi"/>
          <w:b/>
          <w:sz w:val="24"/>
          <w:szCs w:val="24"/>
        </w:rPr>
        <w:t>SME Associations</w:t>
      </w:r>
      <w:r w:rsidR="001F262E" w:rsidRPr="00F8741C">
        <w:rPr>
          <w:rFonts w:asciiTheme="majorHAnsi" w:hAnsiTheme="majorHAnsi" w:cstheme="majorHAnsi"/>
          <w:b/>
          <w:sz w:val="24"/>
          <w:szCs w:val="24"/>
        </w:rPr>
        <w:t xml:space="preserve"> and DPAs</w:t>
      </w:r>
    </w:p>
    <w:p w14:paraId="28BE28CC" w14:textId="38C09588" w:rsidR="00F4218C" w:rsidRPr="00F8741C" w:rsidRDefault="00F4218C" w:rsidP="00B774D4">
      <w:r w:rsidRPr="00F8741C">
        <w:t>Findings of interviews allow to conclude that</w:t>
      </w:r>
      <w:r w:rsidR="0043354D" w:rsidRPr="00F8741C">
        <w:t xml:space="preserve"> interests of </w:t>
      </w:r>
      <w:r w:rsidR="00805AFA">
        <w:t>SME Associations</w:t>
      </w:r>
      <w:r w:rsidR="0043354D" w:rsidRPr="00F8741C">
        <w:t xml:space="preserve"> overlap with </w:t>
      </w:r>
      <w:r w:rsidRPr="00F8741C">
        <w:t xml:space="preserve">interests and </w:t>
      </w:r>
      <w:r w:rsidR="0043354D" w:rsidRPr="00F8741C">
        <w:t>objectives pursued by DPAs: they both seek to raise awareness facilitating the GDPR compliance. A</w:t>
      </w:r>
      <w:r w:rsidR="00104609" w:rsidRPr="00F8741C">
        <w:t xml:space="preserve"> number</w:t>
      </w:r>
      <w:r w:rsidR="00DA358F" w:rsidRPr="00F8741C">
        <w:t xml:space="preserve"> of </w:t>
      </w:r>
      <w:r w:rsidR="0043354D" w:rsidRPr="00F8741C">
        <w:t>interviewed</w:t>
      </w:r>
      <w:r w:rsidR="00DA358F" w:rsidRPr="00F8741C">
        <w:t xml:space="preserve"> </w:t>
      </w:r>
      <w:r w:rsidR="00805AFA">
        <w:t>SME Associations</w:t>
      </w:r>
      <w:r w:rsidR="00DA358F" w:rsidRPr="00F8741C">
        <w:t xml:space="preserve"> reported their own proactive involvement with </w:t>
      </w:r>
      <w:r w:rsidR="0043354D" w:rsidRPr="00F8741C">
        <w:t xml:space="preserve">DPAs and </w:t>
      </w:r>
      <w:r w:rsidR="00DA358F" w:rsidRPr="00F8741C">
        <w:t xml:space="preserve">SMEs in terms of gauging their awareness of the GDPR, albeit that this activity was mostly focused on the period just before the GDPR came into force. It was expressed by one EU wide Association that the Nordic countries are on the whole (SMEs and others) most aware of the GDPR. Indeed, the STAR II research identified a number of engaged </w:t>
      </w:r>
      <w:r w:rsidR="00805AFA">
        <w:t>SME Associations</w:t>
      </w:r>
      <w:r w:rsidR="00DA358F" w:rsidRPr="00F8741C">
        <w:t xml:space="preserve"> from Norway offering proactive assistance and advice to their members</w:t>
      </w:r>
      <w:r w:rsidR="00104609" w:rsidRPr="00F8741C">
        <w:t>, as well as reporting positive DPA relationships</w:t>
      </w:r>
      <w:r w:rsidR="00DA358F" w:rsidRPr="00F8741C">
        <w:t xml:space="preserve">. </w:t>
      </w:r>
    </w:p>
    <w:p w14:paraId="79B3122F" w14:textId="4F35580C" w:rsidR="00C630BB" w:rsidRPr="00F8741C" w:rsidRDefault="00C630BB" w:rsidP="00B774D4">
      <w:r w:rsidRPr="00F8741C">
        <w:t xml:space="preserve">STAR II interviews leave no doubt as to the profound role some </w:t>
      </w:r>
      <w:r w:rsidR="00805AFA">
        <w:t>SME Associations</w:t>
      </w:r>
      <w:r w:rsidRPr="00F8741C">
        <w:t xml:space="preserve"> play in providing guidance to SMEs on the GDPR. In particular, the online survey with SMEs reported around two thirds of respondent SMEs having looked to sources other than their DPA for GDPR guidance. It appears that while during interviews SMEs expressed a high degree of scepticism over GDPR consultancy services,</w:t>
      </w:r>
      <w:r w:rsidR="007658DE">
        <w:t xml:space="preserve"> seeing them as over-compliant and primarily generating work for the consultant,</w:t>
      </w:r>
      <w:r w:rsidRPr="00F8741C">
        <w:t xml:space="preserve"> guidance provided by </w:t>
      </w:r>
      <w:bookmarkStart w:id="3" w:name="_Hlk36739060"/>
      <w:r w:rsidRPr="00F8741C">
        <w:t xml:space="preserve">trade or sectoral associations and chambers of commerce </w:t>
      </w:r>
      <w:bookmarkEnd w:id="3"/>
      <w:r w:rsidRPr="00F8741C">
        <w:t>were among the most consulted.</w:t>
      </w:r>
      <w:r w:rsidRPr="00F8741C">
        <w:rPr>
          <w:rStyle w:val="FootnoteReference"/>
          <w:rFonts w:asciiTheme="majorHAnsi" w:hAnsiTheme="majorHAnsi" w:cstheme="majorHAnsi"/>
        </w:rPr>
        <w:footnoteReference w:id="57"/>
      </w:r>
      <w:r w:rsidRPr="00F8741C">
        <w:t xml:space="preserve"> </w:t>
      </w:r>
    </w:p>
    <w:p w14:paraId="19BCC3DF" w14:textId="582517C9" w:rsidR="00C630BB" w:rsidRPr="00F8741C" w:rsidRDefault="00C630BB" w:rsidP="00B774D4">
      <w:bookmarkStart w:id="4" w:name="_Hlk36739274"/>
      <w:r w:rsidRPr="00F8741C">
        <w:t xml:space="preserve">The perception of these guidelines </w:t>
      </w:r>
      <w:r w:rsidR="007C33AE" w:rsidRPr="00F8741C">
        <w:t xml:space="preserve">and their usefulness </w:t>
      </w:r>
      <w:r w:rsidRPr="00F8741C">
        <w:t xml:space="preserve">was not explored within the scope of STAR II questions because originally more narrow focus was placed on the relationship between DPAs and SMEs directly, before the potential for the role of </w:t>
      </w:r>
      <w:r w:rsidR="00805AFA">
        <w:t>SME Associations</w:t>
      </w:r>
      <w:r w:rsidRPr="00F8741C">
        <w:t xml:space="preserve"> emerged. </w:t>
      </w:r>
      <w:bookmarkEnd w:id="4"/>
      <w:r w:rsidRPr="00F8741C">
        <w:t xml:space="preserve">The data on SME engagement with </w:t>
      </w:r>
      <w:r w:rsidR="00805AFA">
        <w:t>SME Associations</w:t>
      </w:r>
      <w:r w:rsidRPr="00F8741C">
        <w:t xml:space="preserve"> therefore comes from the in-depth interviews STAR II researchers undertook with 22 </w:t>
      </w:r>
      <w:r w:rsidR="00805AFA">
        <w:t>SME Associations</w:t>
      </w:r>
      <w:r w:rsidRPr="00F8741C">
        <w:t xml:space="preserve">. </w:t>
      </w:r>
    </w:p>
    <w:p w14:paraId="4E1C20B3" w14:textId="220E6E63" w:rsidR="005C7D2B" w:rsidRDefault="00F4218C" w:rsidP="00B774D4">
      <w:r w:rsidRPr="00F8741C">
        <w:t xml:space="preserve">Awareness raising for </w:t>
      </w:r>
      <w:r w:rsidR="00805AFA">
        <w:t>SME Associations</w:t>
      </w:r>
      <w:r w:rsidRPr="00F8741C">
        <w:t xml:space="preserve"> extends beyond </w:t>
      </w:r>
      <w:r w:rsidR="00C630BB" w:rsidRPr="00F8741C">
        <w:t>communication to their members.</w:t>
      </w:r>
      <w:r w:rsidRPr="00F8741C">
        <w:t xml:space="preserve"> </w:t>
      </w:r>
      <w:r w:rsidR="00C630BB" w:rsidRPr="00F8741C">
        <w:t>I</w:t>
      </w:r>
      <w:r w:rsidR="0046636A" w:rsidRPr="00F8741C">
        <w:t xml:space="preserve">t </w:t>
      </w:r>
      <w:r w:rsidR="005B7BEE" w:rsidRPr="00F8741C">
        <w:t xml:space="preserve">is </w:t>
      </w:r>
      <w:r w:rsidR="0046636A" w:rsidRPr="00F8741C">
        <w:t>well</w:t>
      </w:r>
      <w:r w:rsidR="00C630BB" w:rsidRPr="00F8741C">
        <w:t>-</w:t>
      </w:r>
      <w:r w:rsidR="0046636A" w:rsidRPr="00F8741C">
        <w:t xml:space="preserve">documented that SME Association representatives are </w:t>
      </w:r>
      <w:r w:rsidR="00C630BB" w:rsidRPr="00F8741C">
        <w:t xml:space="preserve">also </w:t>
      </w:r>
      <w:r w:rsidR="0046636A" w:rsidRPr="00F8741C">
        <w:t>the ones informing the regulators and the legislator</w:t>
      </w:r>
      <w:r w:rsidR="00C630BB" w:rsidRPr="00F8741C">
        <w:t xml:space="preserve"> (e.g. European Commission)</w:t>
      </w:r>
      <w:r w:rsidR="0046636A" w:rsidRPr="00F8741C">
        <w:t xml:space="preserve"> about daily challenges accompanying the GDPR compliance</w:t>
      </w:r>
      <w:r w:rsidR="005B7BEE" w:rsidRPr="00F8741C">
        <w:t xml:space="preserve"> for small businesses</w:t>
      </w:r>
      <w:r w:rsidR="0046636A" w:rsidRPr="00F8741C">
        <w:t>. In this regard, the work by SMEunited, represent</w:t>
      </w:r>
      <w:r w:rsidR="005B7BEE" w:rsidRPr="00F8741C">
        <w:t>ing</w:t>
      </w:r>
      <w:r w:rsidR="0046636A" w:rsidRPr="00F8741C">
        <w:t xml:space="preserve"> national cross-sectoral Craft and SME federations, stands out. </w:t>
      </w:r>
      <w:r w:rsidR="007C33AE" w:rsidRPr="00F8741C">
        <w:t>For example, i</w:t>
      </w:r>
      <w:r w:rsidR="0046636A" w:rsidRPr="00F8741C">
        <w:t>t</w:t>
      </w:r>
      <w:r w:rsidR="00A42108" w:rsidRPr="00F8741C">
        <w:t xml:space="preserve"> actively</w:t>
      </w:r>
      <w:r w:rsidR="0046636A" w:rsidRPr="00F8741C">
        <w:t xml:space="preserve"> participates in the </w:t>
      </w:r>
      <w:r w:rsidR="00A42108" w:rsidRPr="00F8741C">
        <w:t>m</w:t>
      </w:r>
      <w:r w:rsidR="0046636A" w:rsidRPr="00F8741C">
        <w:t>ulti-stakeholder expert group to support the application of the GDPR</w:t>
      </w:r>
      <w:r w:rsidR="00C630BB" w:rsidRPr="00F8741C">
        <w:t>. In one of the last meeting of this group, SMEunited</w:t>
      </w:r>
      <w:r w:rsidR="00A42108" w:rsidRPr="00F8741C">
        <w:t xml:space="preserve"> </w:t>
      </w:r>
      <w:r w:rsidR="0046636A" w:rsidRPr="00F8741C">
        <w:t>point</w:t>
      </w:r>
      <w:r w:rsidR="00C630BB" w:rsidRPr="00F8741C">
        <w:t>ed</w:t>
      </w:r>
      <w:r w:rsidR="0046636A" w:rsidRPr="00F8741C">
        <w:t xml:space="preserve"> out compliance challenges for SMEs, which range from the application </w:t>
      </w:r>
      <w:r w:rsidR="00C630BB" w:rsidRPr="00F8741C">
        <w:t>of</w:t>
      </w:r>
      <w:r w:rsidR="0046636A" w:rsidRPr="00F8741C">
        <w:t xml:space="preserve"> specific provisions</w:t>
      </w:r>
      <w:r w:rsidR="00C630BB" w:rsidRPr="00F8741C">
        <w:t xml:space="preserve"> (i.e. the use of a legitimate interest ground)</w:t>
      </w:r>
      <w:r w:rsidR="0046636A" w:rsidRPr="00F8741C">
        <w:t xml:space="preserve"> to general governance matters.</w:t>
      </w:r>
      <w:r w:rsidR="0046636A" w:rsidRPr="00F8741C">
        <w:rPr>
          <w:rStyle w:val="FootnoteReference"/>
          <w:rFonts w:asciiTheme="majorHAnsi" w:hAnsiTheme="majorHAnsi" w:cstheme="majorHAnsi"/>
          <w:sz w:val="24"/>
          <w:szCs w:val="24"/>
        </w:rPr>
        <w:footnoteReference w:id="58"/>
      </w:r>
      <w:r w:rsidR="005C7D2B" w:rsidRPr="00F8741C">
        <w:t xml:space="preserve"> The voice of SME Association representing a large number of SMEs when conveying the</w:t>
      </w:r>
      <w:r w:rsidR="00C630BB" w:rsidRPr="00F8741C">
        <w:t>ir distinctive</w:t>
      </w:r>
      <w:r w:rsidR="005C7D2B" w:rsidRPr="00F8741C">
        <w:t xml:space="preserve"> needs </w:t>
      </w:r>
      <w:r w:rsidR="00C630BB" w:rsidRPr="00F8741C">
        <w:t>arguably</w:t>
      </w:r>
      <w:r w:rsidR="005C7D2B" w:rsidRPr="00F8741C">
        <w:t xml:space="preserve"> carries more weight than a voice of </w:t>
      </w:r>
      <w:r w:rsidR="00C630BB" w:rsidRPr="00F8741C">
        <w:t>a sole</w:t>
      </w:r>
      <w:r w:rsidR="005C7D2B" w:rsidRPr="00F8741C">
        <w:t xml:space="preserve"> SME representative. </w:t>
      </w:r>
    </w:p>
    <w:p w14:paraId="36F8D5A6" w14:textId="01803DE8" w:rsidR="00457C90" w:rsidRPr="00F8741C" w:rsidRDefault="00457C90" w:rsidP="00B774D4">
      <w:r>
        <w:t xml:space="preserve">This raises the possibility of </w:t>
      </w:r>
      <w:bookmarkStart w:id="5" w:name="_Hlk36739609"/>
      <w:r>
        <w:t xml:space="preserve">DPAs and </w:t>
      </w:r>
      <w:r w:rsidR="00805AFA">
        <w:t>SME Associations</w:t>
      </w:r>
      <w:r>
        <w:t xml:space="preserve"> </w:t>
      </w:r>
      <w:r w:rsidRPr="00F70934">
        <w:t>co-creating</w:t>
      </w:r>
      <w:r>
        <w:t xml:space="preserve"> guidance for SMEs</w:t>
      </w:r>
      <w:r w:rsidR="00ED4FD0">
        <w:t xml:space="preserve">. </w:t>
      </w:r>
      <w:bookmarkEnd w:id="5"/>
      <w:r w:rsidR="00ED4FD0">
        <w:t xml:space="preserve">The </w:t>
      </w:r>
      <w:r w:rsidR="0022312C">
        <w:t>associations</w:t>
      </w:r>
      <w:r w:rsidR="00ED4FD0">
        <w:t xml:space="preserve"> bring knowledge of the aggregate</w:t>
      </w:r>
      <w:r w:rsidR="00134611">
        <w:t>d</w:t>
      </w:r>
      <w:r w:rsidR="00ED4FD0">
        <w:t xml:space="preserve"> concerns and questions of their members</w:t>
      </w:r>
      <w:r w:rsidR="0022312C">
        <w:t xml:space="preserve"> as well as </w:t>
      </w:r>
      <w:r w:rsidR="0022312C">
        <w:lastRenderedPageBreak/>
        <w:t xml:space="preserve">knowledge of the best formats to reach their members. DPAs have the legal authority and the wider expertise in the data protection context. Guidance produced in close collaboration, which is acceptable to and endorsed both by the DPA and </w:t>
      </w:r>
      <w:r w:rsidR="00134611">
        <w:t>(</w:t>
      </w:r>
      <w:r w:rsidR="0022312C">
        <w:t>sectoral</w:t>
      </w:r>
      <w:r w:rsidR="00134611">
        <w:t>)</w:t>
      </w:r>
      <w:r w:rsidR="0022312C">
        <w:t xml:space="preserve"> association</w:t>
      </w:r>
      <w:r w:rsidR="00134611">
        <w:t>s</w:t>
      </w:r>
      <w:r w:rsidR="0022312C">
        <w:t xml:space="preserve"> would potentially have a high level of </w:t>
      </w:r>
      <w:r w:rsidR="00F35046">
        <w:t>authority that SMEs are seeking.</w:t>
      </w:r>
      <w:r w:rsidR="00A74DA9">
        <w:t xml:space="preserve"> </w:t>
      </w:r>
      <w:r w:rsidR="006E112B">
        <w:t>If successful</w:t>
      </w:r>
      <w:r w:rsidR="00134611">
        <w:t>,</w:t>
      </w:r>
      <w:r w:rsidR="006E112B">
        <w:t xml:space="preserve"> this could even become an ongoing process. </w:t>
      </w:r>
    </w:p>
    <w:p w14:paraId="36354DBA" w14:textId="169F1E9B" w:rsidR="00104609" w:rsidRPr="00F8741C" w:rsidRDefault="008F73FA" w:rsidP="00B774D4">
      <w:r w:rsidRPr="00F8741C">
        <w:t>Having this background in mind it should be added that</w:t>
      </w:r>
      <w:r w:rsidR="005C7D2B" w:rsidRPr="00F8741C">
        <w:t xml:space="preserve"> t</w:t>
      </w:r>
      <w:r w:rsidR="00A42108" w:rsidRPr="00F8741C">
        <w:t xml:space="preserve">he awareness raising </w:t>
      </w:r>
      <w:r w:rsidR="006E509D" w:rsidRPr="00F8741C">
        <w:t>f</w:t>
      </w:r>
      <w:r w:rsidR="00B26730" w:rsidRPr="00F8741C">
        <w:t xml:space="preserve">or some </w:t>
      </w:r>
      <w:r w:rsidR="00805AFA">
        <w:t>SME Associations</w:t>
      </w:r>
      <w:r w:rsidR="006E509D" w:rsidRPr="00F8741C">
        <w:t xml:space="preserve"> is the priority stemming from</w:t>
      </w:r>
      <w:r w:rsidR="00B26730" w:rsidRPr="00F8741C">
        <w:t xml:space="preserve"> the fee-paying dimension of their service</w:t>
      </w:r>
      <w:r w:rsidR="006E509D" w:rsidRPr="00F8741C">
        <w:t>s</w:t>
      </w:r>
      <w:r w:rsidR="00DC20EE" w:rsidRPr="00F8741C">
        <w:t>, which includes</w:t>
      </w:r>
      <w:r w:rsidR="006E509D" w:rsidRPr="00F8741C">
        <w:t xml:space="preserve"> provision of relevant information, such as the one concerning</w:t>
      </w:r>
      <w:r w:rsidR="00B26730" w:rsidRPr="00F8741C">
        <w:t xml:space="preserve"> advice on the GDPR. </w:t>
      </w:r>
      <w:r w:rsidR="00C822C1" w:rsidRPr="00F8741C">
        <w:t>As fee operating entities</w:t>
      </w:r>
      <w:r w:rsidR="00B26730" w:rsidRPr="00F8741C">
        <w:t xml:space="preserve">, </w:t>
      </w:r>
      <w:r w:rsidR="00805AFA">
        <w:t>SME Associations</w:t>
      </w:r>
      <w:r w:rsidR="00B26730" w:rsidRPr="00F8741C">
        <w:t xml:space="preserve"> have a vested interest in ensuring that the membership of their SMEs is worthwhile. Part of this vested interest is not just about awareness raising but is furthermore also concerned with a level of understanding, such that SMEs might emerge as satisfied customers of their Association returning to pay their fee for a further year. For </w:t>
      </w:r>
      <w:r w:rsidR="00805AFA">
        <w:t>SME Associations</w:t>
      </w:r>
      <w:r w:rsidR="00B26730" w:rsidRPr="00F8741C">
        <w:t xml:space="preserve"> operating in this way, the incentive might be considered just as powerful as the GDPR </w:t>
      </w:r>
      <w:r w:rsidR="00C822C1" w:rsidRPr="00F8741C">
        <w:t xml:space="preserve">awareness raising </w:t>
      </w:r>
      <w:r w:rsidR="00B26730" w:rsidRPr="00F8741C">
        <w:t xml:space="preserve">obligations on DPAs. </w:t>
      </w:r>
    </w:p>
    <w:p w14:paraId="0C7D7286" w14:textId="3AC4E522" w:rsidR="00DA358F" w:rsidRPr="00F8741C" w:rsidRDefault="00DA358F" w:rsidP="00E051E1">
      <w:pPr>
        <w:pStyle w:val="ListParagraph"/>
        <w:numPr>
          <w:ilvl w:val="0"/>
          <w:numId w:val="9"/>
        </w:numPr>
        <w:rPr>
          <w:rFonts w:asciiTheme="majorHAnsi" w:hAnsiTheme="majorHAnsi" w:cstheme="majorHAnsi"/>
          <w:b/>
          <w:sz w:val="24"/>
          <w:szCs w:val="24"/>
        </w:rPr>
      </w:pPr>
      <w:r w:rsidRPr="00F8741C">
        <w:rPr>
          <w:rFonts w:asciiTheme="majorHAnsi" w:hAnsiTheme="majorHAnsi" w:cstheme="majorHAnsi"/>
          <w:b/>
          <w:sz w:val="24"/>
          <w:szCs w:val="24"/>
        </w:rPr>
        <w:t xml:space="preserve">Communication </w:t>
      </w:r>
      <w:r w:rsidR="0068412A" w:rsidRPr="00F8741C">
        <w:rPr>
          <w:rFonts w:asciiTheme="majorHAnsi" w:hAnsiTheme="majorHAnsi" w:cstheme="majorHAnsi"/>
          <w:b/>
          <w:sz w:val="24"/>
          <w:szCs w:val="24"/>
        </w:rPr>
        <w:t>c</w:t>
      </w:r>
      <w:r w:rsidRPr="00F8741C">
        <w:rPr>
          <w:rFonts w:asciiTheme="majorHAnsi" w:hAnsiTheme="majorHAnsi" w:cstheme="majorHAnsi"/>
          <w:b/>
          <w:sz w:val="24"/>
          <w:szCs w:val="24"/>
        </w:rPr>
        <w:t>hannels</w:t>
      </w:r>
    </w:p>
    <w:p w14:paraId="4B68EF4C" w14:textId="7165D14F" w:rsidR="00C52BBF" w:rsidRPr="00F8741C" w:rsidRDefault="00CE301D" w:rsidP="007C33AE">
      <w:r w:rsidRPr="00F8741C">
        <w:t xml:space="preserve">In addition, </w:t>
      </w:r>
      <w:r w:rsidR="00C04403">
        <w:t xml:space="preserve">effectively functioning </w:t>
      </w:r>
      <w:r w:rsidR="00805AFA">
        <w:t>SME Associations</w:t>
      </w:r>
      <w:r w:rsidRPr="00F8741C">
        <w:t xml:space="preserve"> </w:t>
      </w:r>
      <w:r w:rsidR="00DF128F">
        <w:t>will</w:t>
      </w:r>
      <w:r w:rsidR="00B2748C" w:rsidRPr="00F8741C">
        <w:t xml:space="preserve"> have</w:t>
      </w:r>
      <w:r w:rsidR="00DF128F">
        <w:t xml:space="preserve"> established and</w:t>
      </w:r>
      <w:r w:rsidR="00FC2178" w:rsidRPr="00F8741C">
        <w:t xml:space="preserve"> open channels of communication with</w:t>
      </w:r>
      <w:r w:rsidR="002E2A6F" w:rsidRPr="00F8741C">
        <w:t xml:space="preserve"> their members. One UK based sectoral association noted: </w:t>
      </w:r>
    </w:p>
    <w:p w14:paraId="7D1D93C6" w14:textId="0084D027" w:rsidR="002E2A6F" w:rsidRPr="00F8741C" w:rsidRDefault="00B2748C" w:rsidP="007C33AE">
      <w:pPr>
        <w:ind w:firstLine="720"/>
      </w:pPr>
      <w:r w:rsidRPr="00F8741C">
        <w:t>‘</w:t>
      </w:r>
      <w:r w:rsidR="002E2A6F" w:rsidRPr="00F8741C">
        <w:t>We have lots of communication channels for disseminating this research/guidance for SMEs. We have a quarterly letter and magazine, which we included the Guide to the GDPR in. We are very active on social media; we had a countdown to the GDPR on that. We also spoke at a lot of conferences [and] meetings</w:t>
      </w:r>
      <w:r w:rsidRPr="00F8741C">
        <w:t>.’</w:t>
      </w:r>
      <w:r w:rsidR="00FD484B">
        <w:rPr>
          <w:rStyle w:val="FootnoteReference"/>
        </w:rPr>
        <w:footnoteReference w:id="59"/>
      </w:r>
    </w:p>
    <w:p w14:paraId="5BDA21DF" w14:textId="6A1BBBF5" w:rsidR="00FC2178" w:rsidRPr="00F8741C" w:rsidRDefault="00B26730" w:rsidP="007C33AE">
      <w:r w:rsidRPr="00F8741C">
        <w:t xml:space="preserve">Indeed, one relatively common channel mentioned by </w:t>
      </w:r>
      <w:r w:rsidR="00805AFA">
        <w:t>SME Associations</w:t>
      </w:r>
      <w:r w:rsidRPr="00F8741C">
        <w:t xml:space="preserve"> was the member mailing list</w:t>
      </w:r>
      <w:r w:rsidR="00FC2178" w:rsidRPr="00F8741C">
        <w:t>.  Albeit not directly asked, there was no mention of a corresponding effort to collect SME contact details for dissemination of guidance materials by DPAs</w:t>
      </w:r>
      <w:r w:rsidR="00ED206D">
        <w:t xml:space="preserve"> – they are typically operating on a model of “we publish it, you find it” in relation to guidance.</w:t>
      </w:r>
    </w:p>
    <w:p w14:paraId="6E6DA418" w14:textId="75D6BB82" w:rsidR="003B4F6B" w:rsidRPr="00F8741C" w:rsidRDefault="0068412A" w:rsidP="007C33AE">
      <w:r w:rsidRPr="00F8741C">
        <w:t xml:space="preserve">Further distinction could be made between communication types based on whether </w:t>
      </w:r>
      <w:r w:rsidR="00805AFA">
        <w:t>SME Associations</w:t>
      </w:r>
      <w:r w:rsidRPr="00F8741C">
        <w:t xml:space="preserve"> function on national or European level. It seems to be</w:t>
      </w:r>
      <w:r w:rsidR="00297BA9" w:rsidRPr="00F8741C">
        <w:t xml:space="preserve"> benefi</w:t>
      </w:r>
      <w:r w:rsidRPr="00F8741C">
        <w:t xml:space="preserve">cial </w:t>
      </w:r>
      <w:r w:rsidR="00212949">
        <w:t xml:space="preserve">for SMEs </w:t>
      </w:r>
      <w:r w:rsidRPr="00F8741C">
        <w:t xml:space="preserve">to </w:t>
      </w:r>
      <w:r w:rsidR="00297BA9" w:rsidRPr="00F8741C">
        <w:t>retain a focus on member state organisations (as opposed to multi-national or EU wide organisations)</w:t>
      </w:r>
      <w:r w:rsidR="005F77ED">
        <w:t>, even though guidance at EU level would be welcome too</w:t>
      </w:r>
      <w:r w:rsidR="00297BA9" w:rsidRPr="00F8741C">
        <w:t xml:space="preserve">. In general, </w:t>
      </w:r>
      <w:r w:rsidR="00DA4A9C" w:rsidRPr="00F8741C">
        <w:t xml:space="preserve">there </w:t>
      </w:r>
      <w:r w:rsidRPr="00F8741C">
        <w:t>seems to be</w:t>
      </w:r>
      <w:r w:rsidR="00DA4A9C" w:rsidRPr="00F8741C">
        <w:t xml:space="preserve"> </w:t>
      </w:r>
      <w:r w:rsidR="00297BA9" w:rsidRPr="00F8741C">
        <w:t xml:space="preserve">a preference for </w:t>
      </w:r>
      <w:r w:rsidR="00212005">
        <w:t>data protection</w:t>
      </w:r>
      <w:r w:rsidR="00212005" w:rsidRPr="00F8741C">
        <w:t xml:space="preserve"> </w:t>
      </w:r>
      <w:r w:rsidR="00297BA9" w:rsidRPr="00F8741C">
        <w:t xml:space="preserve">advice services </w:t>
      </w:r>
      <w:r w:rsidR="00DA4A9C" w:rsidRPr="00F8741C">
        <w:t xml:space="preserve">to be offered </w:t>
      </w:r>
      <w:r w:rsidR="00297BA9" w:rsidRPr="00F8741C">
        <w:t>at the member state level and in the national language</w:t>
      </w:r>
      <w:r w:rsidR="00DA4A9C" w:rsidRPr="00F8741C">
        <w:t xml:space="preserve"> because as one SME Association told us, </w:t>
      </w:r>
      <w:r w:rsidR="007C33AE" w:rsidRPr="00F8741C">
        <w:t>‘</w:t>
      </w:r>
      <w:r w:rsidR="00DA4A9C" w:rsidRPr="00F8741C">
        <w:t>SMEs default to the national context always</w:t>
      </w:r>
      <w:r w:rsidR="007C33AE" w:rsidRPr="00F8741C">
        <w:t>’</w:t>
      </w:r>
      <w:r w:rsidR="00297BA9" w:rsidRPr="00F8741C">
        <w:t>.</w:t>
      </w:r>
      <w:r w:rsidR="00DA4A9C" w:rsidRPr="00F8741C">
        <w:t xml:space="preserve"> While </w:t>
      </w:r>
      <w:r w:rsidR="00805AFA">
        <w:t>SME Associations</w:t>
      </w:r>
      <w:r w:rsidR="00DA4A9C" w:rsidRPr="00F8741C">
        <w:t xml:space="preserve"> appeared more at home with transnational advice services than SMEs, they too emphasised the importance of communicating in the context of the national language and laws when addressing SMEs. This narrative in the context of SMEs is important because it provides something of a contrast to the intention behind the GDPR that it would be a </w:t>
      </w:r>
      <w:r w:rsidR="009D6753" w:rsidRPr="00F8741C">
        <w:t>harmonised tool</w:t>
      </w:r>
      <w:r w:rsidR="00DA4A9C" w:rsidRPr="00F8741C">
        <w:t xml:space="preserve"> for EU data protection</w:t>
      </w:r>
      <w:r w:rsidR="009D6753" w:rsidRPr="00F8741C">
        <w:t xml:space="preserve"> applicable across all member states</w:t>
      </w:r>
      <w:r w:rsidR="00DA4A9C" w:rsidRPr="00F8741C">
        <w:t xml:space="preserve">. </w:t>
      </w:r>
      <w:r w:rsidR="002C7A5C" w:rsidRPr="00F8741C">
        <w:t xml:space="preserve">In this regard, some </w:t>
      </w:r>
      <w:r w:rsidR="00805AFA">
        <w:t>SME Associations</w:t>
      </w:r>
      <w:r w:rsidR="002C7A5C" w:rsidRPr="00F8741C">
        <w:t xml:space="preserve"> expressed the view that the SME concern was based on more than just cultural unfamiliarity or linguistic prowess, but the reality that member state d</w:t>
      </w:r>
      <w:r w:rsidR="003B4F6B" w:rsidRPr="00F8741C">
        <w:t xml:space="preserve">ata protection laws were not always harmonious. Perhaps for a mixture of these reasons, one SME Association expressed that </w:t>
      </w:r>
      <w:r w:rsidR="00DA4A9C" w:rsidRPr="00F8741C">
        <w:t xml:space="preserve">SMEs might view advice services outside the </w:t>
      </w:r>
      <w:r w:rsidR="007549C7">
        <w:t xml:space="preserve">member </w:t>
      </w:r>
      <w:r w:rsidR="00DA4A9C" w:rsidRPr="00F8741C">
        <w:t>state with suspicion</w:t>
      </w:r>
      <w:r w:rsidR="007C33AE" w:rsidRPr="00F8741C">
        <w:t xml:space="preserve">, such as this: </w:t>
      </w:r>
    </w:p>
    <w:p w14:paraId="3ABA3AA6" w14:textId="033A5498" w:rsidR="003B4F6B" w:rsidRPr="00F8741C" w:rsidRDefault="007C33AE" w:rsidP="00B9176B">
      <w:pPr>
        <w:ind w:firstLine="720"/>
      </w:pPr>
      <w:r w:rsidRPr="00F8741C">
        <w:t>‘</w:t>
      </w:r>
      <w:r w:rsidR="003B4F6B" w:rsidRPr="00F8741C">
        <w:t xml:space="preserve">Well, I would ask myself why is it not being offered by my own member state? I would ask also is it free?  I don't see </w:t>
      </w:r>
      <w:r w:rsidR="007549C7" w:rsidRPr="00F8741C">
        <w:t>wh</w:t>
      </w:r>
      <w:r w:rsidR="007549C7">
        <w:t>y</w:t>
      </w:r>
      <w:r w:rsidR="007549C7" w:rsidRPr="00F8741C">
        <w:t xml:space="preserve"> </w:t>
      </w:r>
      <w:r w:rsidR="003B4F6B" w:rsidRPr="00F8741C">
        <w:t>it wouldn't or shouldn’t be offered nationally.</w:t>
      </w:r>
      <w:r w:rsidRPr="00F8741C">
        <w:t>’</w:t>
      </w:r>
    </w:p>
    <w:p w14:paraId="155FA4A6" w14:textId="6FCC055C" w:rsidR="00A426C5" w:rsidRDefault="00A426C5" w:rsidP="007C33AE">
      <w:r>
        <w:t xml:space="preserve">The expressed concern is that </w:t>
      </w:r>
      <w:r w:rsidR="00EE3EF9">
        <w:t>SMEs want to know how they will be regulated</w:t>
      </w:r>
      <w:r w:rsidR="00E038F5">
        <w:t xml:space="preserve">, and they want guidance that definitely applies to them. Whilst international guidance can be educational in the absence of nationally specific guidance, their ultimate concern was the interpretation of the GDPR </w:t>
      </w:r>
      <w:r w:rsidR="00766771">
        <w:t>(and othe</w:t>
      </w:r>
      <w:r w:rsidR="00134611">
        <w:t>r</w:t>
      </w:r>
      <w:r w:rsidR="00766771">
        <w:t xml:space="preserve"> relevant laws) that they would be regulated against</w:t>
      </w:r>
      <w:r w:rsidR="00FC6A61">
        <w:t xml:space="preserve">, and what they would need to do to comply with </w:t>
      </w:r>
      <w:r w:rsidR="00FC6A61">
        <w:lastRenderedPageBreak/>
        <w:t xml:space="preserve">this. The existence of the one-stop-shop principle and complaints handling mechanisms did not feature in these considerations. </w:t>
      </w:r>
    </w:p>
    <w:p w14:paraId="20D6184B" w14:textId="664C0775" w:rsidR="00F4218C" w:rsidRPr="00F8741C" w:rsidRDefault="00F4218C" w:rsidP="007C33AE">
      <w:r w:rsidRPr="00F8741C">
        <w:t xml:space="preserve">It is therefore not surprising that some of the DPAs have started collaborating more closely and proactively with certain </w:t>
      </w:r>
      <w:r w:rsidR="00805AFA">
        <w:t>SME Associations</w:t>
      </w:r>
      <w:r w:rsidRPr="00F8741C">
        <w:t>.</w:t>
      </w:r>
      <w:r w:rsidR="00134611">
        <w:rPr>
          <w:rStyle w:val="FootnoteReference"/>
        </w:rPr>
        <w:footnoteReference w:id="60"/>
      </w:r>
      <w:r w:rsidRPr="00F8741C">
        <w:t xml:space="preserve"> For example, the Belgian DPA has recently launched an awareness raising project with associations representing fintech industry in Belgium.</w:t>
      </w:r>
      <w:r w:rsidRPr="00F8741C">
        <w:rPr>
          <w:rStyle w:val="FootnoteReference"/>
          <w:rFonts w:asciiTheme="majorHAnsi" w:hAnsiTheme="majorHAnsi" w:cstheme="majorHAnsi"/>
          <w:bCs/>
          <w:iCs/>
          <w:sz w:val="24"/>
          <w:szCs w:val="24"/>
        </w:rPr>
        <w:footnoteReference w:id="61"/>
      </w:r>
      <w:r w:rsidRPr="00F8741C">
        <w:t xml:space="preserve"> The Italian DPA has been closely collaborating with </w:t>
      </w:r>
      <w:r w:rsidR="00805AFA">
        <w:t>SME Associations</w:t>
      </w:r>
      <w:r w:rsidRPr="00F8741C">
        <w:t>in Italy and Bulgaria within the scope of SMEDATA,</w:t>
      </w:r>
      <w:r w:rsidRPr="00F8741C">
        <w:rPr>
          <w:rStyle w:val="FootnoteReference"/>
          <w:rFonts w:asciiTheme="majorHAnsi" w:hAnsiTheme="majorHAnsi" w:cstheme="majorHAnsi"/>
          <w:bCs/>
          <w:iCs/>
          <w:sz w:val="24"/>
          <w:szCs w:val="24"/>
        </w:rPr>
        <w:footnoteReference w:id="62"/>
      </w:r>
      <w:r w:rsidRPr="00F8741C">
        <w:t xml:space="preserve"> whereas the European Small Business Alliance, a non-party political European group representing small business entrepreneurs and the self-employed, is a partner </w:t>
      </w:r>
      <w:r w:rsidR="002D0B9F">
        <w:t>in</w:t>
      </w:r>
      <w:r w:rsidR="002D0B9F" w:rsidRPr="00F8741C">
        <w:t xml:space="preserve"> </w:t>
      </w:r>
      <w:r w:rsidRPr="00F8741C">
        <w:t>the SMOOTH project.</w:t>
      </w:r>
      <w:r w:rsidR="00336B99">
        <w:rPr>
          <w:rStyle w:val="FootnoteReference"/>
        </w:rPr>
        <w:footnoteReference w:id="63"/>
      </w:r>
      <w:r w:rsidR="009D6753" w:rsidRPr="00F8741C">
        <w:t xml:space="preserve"> </w:t>
      </w:r>
      <w:r w:rsidR="007C33AE" w:rsidRPr="00F8741C">
        <w:t xml:space="preserve">The DPA in Hungary has recently interacted with </w:t>
      </w:r>
      <w:r w:rsidR="004C7945" w:rsidRPr="00F8741C">
        <w:t>the Somogy Chamber of Commerce and Industry and the Budapest Chamber of Commerce and Industry.</w:t>
      </w:r>
      <w:r w:rsidR="00001DDE">
        <w:rPr>
          <w:rStyle w:val="FootnoteReference"/>
        </w:rPr>
        <w:footnoteReference w:id="64"/>
      </w:r>
      <w:r w:rsidR="007C33AE" w:rsidRPr="00F8741C">
        <w:t xml:space="preserve"> </w:t>
      </w:r>
    </w:p>
    <w:p w14:paraId="6B78579C" w14:textId="178F237A" w:rsidR="003B4F6B" w:rsidRDefault="00651084" w:rsidP="00336B99">
      <w:r>
        <w:t xml:space="preserve">Communications channels are not just about </w:t>
      </w:r>
      <w:r w:rsidR="00533D3D">
        <w:t xml:space="preserve">broadcasting information, but they are also points of interaction. </w:t>
      </w:r>
      <w:r w:rsidR="00805AFA">
        <w:t>SME Associations</w:t>
      </w:r>
      <w:r w:rsidR="00F70934">
        <w:t xml:space="preserve"> </w:t>
      </w:r>
      <w:r w:rsidR="00533D3D">
        <w:t>reported receiv</w:t>
      </w:r>
      <w:r w:rsidR="00B9176B">
        <w:t>ing</w:t>
      </w:r>
      <w:r w:rsidR="00533D3D">
        <w:t xml:space="preserve"> lots of questions from their </w:t>
      </w:r>
      <w:r w:rsidR="0026749A">
        <w:t xml:space="preserve">(fee paying) </w:t>
      </w:r>
      <w:r w:rsidR="00533D3D">
        <w:t xml:space="preserve">members about </w:t>
      </w:r>
      <w:r w:rsidR="0026749A">
        <w:t xml:space="preserve">lots of different types of regulation, including data protection. </w:t>
      </w:r>
      <w:r w:rsidR="00817086">
        <w:t xml:space="preserve">If DPAs were to work with or </w:t>
      </w:r>
      <w:r w:rsidR="00217503">
        <w:t xml:space="preserve">even </w:t>
      </w:r>
      <w:r w:rsidR="00817086">
        <w:t xml:space="preserve">train the SME </w:t>
      </w:r>
      <w:r w:rsidR="00B9176B">
        <w:t>A</w:t>
      </w:r>
      <w:r w:rsidR="00817086">
        <w:t xml:space="preserve">ssociation teams responsible for </w:t>
      </w:r>
      <w:r w:rsidR="00F35BDF">
        <w:t>handling these queries, then this would offer a large potential multiplier</w:t>
      </w:r>
      <w:r w:rsidR="00217503">
        <w:t xml:space="preserve"> for dissemination</w:t>
      </w:r>
      <w:r w:rsidR="00F35BDF">
        <w:t xml:space="preserve"> and increase the chances </w:t>
      </w:r>
      <w:bookmarkStart w:id="6" w:name="_Hlk36740462"/>
      <w:r w:rsidR="00F35BDF">
        <w:t xml:space="preserve">of </w:t>
      </w:r>
      <w:r w:rsidR="00C6690A">
        <w:t xml:space="preserve">an improved </w:t>
      </w:r>
      <w:r w:rsidR="00805AFA">
        <w:t>quality</w:t>
      </w:r>
      <w:r w:rsidR="00F35BDF">
        <w:t xml:space="preserve"> compliance </w:t>
      </w:r>
      <w:bookmarkEnd w:id="6"/>
      <w:r w:rsidR="00F35BDF">
        <w:t xml:space="preserve">advice getting to controllers and processors. </w:t>
      </w:r>
      <w:r w:rsidR="007D09A2">
        <w:t xml:space="preserve">DPAs also have their own communication channels and a mutually beneficial relationship would open these up to SMEs, for example, DPAs have good connections </w:t>
      </w:r>
      <w:r w:rsidR="00C6690A">
        <w:t>with</w:t>
      </w:r>
      <w:r w:rsidR="007D09A2">
        <w:t xml:space="preserve"> other EU</w:t>
      </w:r>
      <w:r w:rsidR="00C6690A">
        <w:t>-based</w:t>
      </w:r>
      <w:r w:rsidR="007D09A2">
        <w:t xml:space="preserve"> DPAs (many SMEs are not operating internationally)</w:t>
      </w:r>
      <w:r w:rsidR="004134C0">
        <w:t xml:space="preserve">, and into larger enterprises which may have data protection practices which </w:t>
      </w:r>
      <w:r w:rsidR="00EE6487">
        <w:t>SMEs may be able to learn from.</w:t>
      </w:r>
      <w:r w:rsidR="00C6690A">
        <w:rPr>
          <w:rStyle w:val="FootnoteReference"/>
        </w:rPr>
        <w:footnoteReference w:id="65"/>
      </w:r>
      <w:r w:rsidR="00EE6487">
        <w:t xml:space="preserve"> </w:t>
      </w:r>
    </w:p>
    <w:p w14:paraId="7B04C71A" w14:textId="77777777" w:rsidR="00C5220F" w:rsidRPr="00F70934" w:rsidRDefault="00B872C2" w:rsidP="00B872C2">
      <w:pPr>
        <w:pStyle w:val="ListParagraph"/>
        <w:numPr>
          <w:ilvl w:val="0"/>
          <w:numId w:val="11"/>
        </w:numPr>
        <w:rPr>
          <w:rFonts w:asciiTheme="majorHAnsi" w:hAnsiTheme="majorHAnsi" w:cstheme="majorHAnsi"/>
          <w:b/>
          <w:sz w:val="26"/>
          <w:szCs w:val="26"/>
        </w:rPr>
      </w:pPr>
      <w:r w:rsidRPr="00F70934">
        <w:rPr>
          <w:rFonts w:asciiTheme="majorHAnsi" w:hAnsiTheme="majorHAnsi" w:cstheme="majorHAnsi"/>
          <w:b/>
          <w:sz w:val="26"/>
          <w:szCs w:val="26"/>
        </w:rPr>
        <w:t>Challenges</w:t>
      </w:r>
      <w:r w:rsidR="00C5220F" w:rsidRPr="00C5220F">
        <w:t xml:space="preserve"> </w:t>
      </w:r>
    </w:p>
    <w:p w14:paraId="4EC6255B" w14:textId="758731C9" w:rsidR="0095319C" w:rsidRDefault="0095319C" w:rsidP="00C5220F">
      <w:r>
        <w:t xml:space="preserve">There are some barriers to increased collaboration between DPAs and </w:t>
      </w:r>
      <w:r w:rsidR="00AA5586">
        <w:t xml:space="preserve">SMEs, particularly where there is no established relationship or history of cooperation that has been able to build trust. </w:t>
      </w:r>
      <w:r w:rsidR="00D1717B">
        <w:t xml:space="preserve">One major challenge is for those DPAs that have a strategic or philosophical approach that stands against giving too specific or too practical advice, or where they are hampered by concerns about not being able to </w:t>
      </w:r>
      <w:r w:rsidR="00805AFA">
        <w:t xml:space="preserve">cope </w:t>
      </w:r>
      <w:r w:rsidR="00D1717B">
        <w:t>enforce</w:t>
      </w:r>
      <w:r w:rsidR="00805AFA">
        <w:t>ment cases</w:t>
      </w:r>
      <w:r w:rsidR="00D1717B">
        <w:t xml:space="preserve">. </w:t>
      </w:r>
      <w:r w:rsidR="00AD21DE">
        <w:t xml:space="preserve">Practical guidance is essentially what SMEs are seeking, and a </w:t>
      </w:r>
      <w:r w:rsidR="00E201B9">
        <w:t xml:space="preserve">close and cooperative vagueness would not be appreciated by them. </w:t>
      </w:r>
    </w:p>
    <w:p w14:paraId="48CF6A12" w14:textId="33CF5D47" w:rsidR="00EB1964" w:rsidRPr="00F70934" w:rsidRDefault="0095319C">
      <w:pPr>
        <w:rPr>
          <w:rFonts w:asciiTheme="majorHAnsi" w:hAnsiTheme="majorHAnsi" w:cstheme="majorHAnsi"/>
          <w:b/>
          <w:sz w:val="26"/>
          <w:szCs w:val="26"/>
        </w:rPr>
      </w:pPr>
      <w:r>
        <w:t xml:space="preserve">Such cooperation would take time and resources and have opportunity costs. </w:t>
      </w:r>
      <w:r w:rsidR="00C5220F" w:rsidRPr="00F8741C">
        <w:t xml:space="preserve">It must be recognised that </w:t>
      </w:r>
      <w:r w:rsidR="00C5220F">
        <w:t>in many</w:t>
      </w:r>
      <w:r w:rsidR="00C5220F" w:rsidRPr="00F8741C">
        <w:t xml:space="preserve"> cases interaction between DPAs and </w:t>
      </w:r>
      <w:r w:rsidR="00805AFA">
        <w:t>SME Associations</w:t>
      </w:r>
      <w:r w:rsidR="00C5220F" w:rsidRPr="00F8741C">
        <w:t xml:space="preserve">have resulted from project work that is partially funded by the Rights, Equality and Citizenship Programme of the European Union. This seem to suggest that for the trust narrative to emerge and develop between SMEs and DPAs there is a need for </w:t>
      </w:r>
      <w:r w:rsidR="00C5220F">
        <w:t>resources and structures to facilitate initial cooperation, and that this can come from e</w:t>
      </w:r>
      <w:r w:rsidR="00C5220F" w:rsidRPr="00F8741C">
        <w:t>xternal stimulus and encouragement.</w:t>
      </w:r>
    </w:p>
    <w:p w14:paraId="0493C56B" w14:textId="41E1D0A7" w:rsidR="00010DC6" w:rsidRPr="00F8741C" w:rsidRDefault="00010DC6" w:rsidP="00AA2023">
      <w:pPr>
        <w:pStyle w:val="ListParagraph"/>
        <w:numPr>
          <w:ilvl w:val="0"/>
          <w:numId w:val="11"/>
        </w:numPr>
        <w:rPr>
          <w:rFonts w:asciiTheme="majorHAnsi" w:hAnsiTheme="majorHAnsi" w:cstheme="majorHAnsi"/>
          <w:b/>
          <w:sz w:val="26"/>
          <w:szCs w:val="26"/>
        </w:rPr>
      </w:pPr>
      <w:r w:rsidRPr="00F8741C">
        <w:rPr>
          <w:rFonts w:asciiTheme="majorHAnsi" w:hAnsiTheme="majorHAnsi" w:cstheme="majorHAnsi"/>
          <w:b/>
          <w:sz w:val="26"/>
          <w:szCs w:val="26"/>
        </w:rPr>
        <w:t>Concluding remarks</w:t>
      </w:r>
    </w:p>
    <w:p w14:paraId="1C2FB86F" w14:textId="184FBF8B" w:rsidR="009574B0" w:rsidRPr="00F8741C" w:rsidRDefault="00ED6EE4" w:rsidP="00ED6EE4">
      <w:r w:rsidRPr="00F8741C">
        <w:t xml:space="preserve">DPAs have a well-established record of various activities </w:t>
      </w:r>
      <w:r w:rsidR="00001DDE">
        <w:t xml:space="preserve">to </w:t>
      </w:r>
      <w:r w:rsidRPr="00F8741C">
        <w:t xml:space="preserve">raising </w:t>
      </w:r>
      <w:r w:rsidR="00001DDE" w:rsidRPr="00F8741C">
        <w:t>awareness</w:t>
      </w:r>
      <w:r w:rsidRPr="00F8741C">
        <w:t xml:space="preserve">, </w:t>
      </w:r>
      <w:r w:rsidR="00883C64" w:rsidRPr="00F8741C">
        <w:t>ranging from publishing</w:t>
      </w:r>
      <w:r w:rsidRPr="00F8741C">
        <w:t xml:space="preserve"> </w:t>
      </w:r>
      <w:r w:rsidR="00883C64" w:rsidRPr="00F8741C">
        <w:t>press releases, educational materials and commentaries to holding public meetings and events. Such activities have allowed DPAs to shape application of law practices by controllers, processors</w:t>
      </w:r>
      <w:r w:rsidR="00001DDE">
        <w:t xml:space="preserve">. Indeed, </w:t>
      </w:r>
      <w:r w:rsidR="00883C64" w:rsidRPr="00F8741C">
        <w:t xml:space="preserve">only well-informed and aware data controllers and processors can comply with obligations stemming from the EU data protection framework. </w:t>
      </w:r>
      <w:r w:rsidR="009574B0" w:rsidRPr="00F8741C">
        <w:t xml:space="preserve">The weight of awareness raising as a task has recently </w:t>
      </w:r>
      <w:r w:rsidR="00063491">
        <w:lastRenderedPageBreak/>
        <w:t>increased</w:t>
      </w:r>
      <w:r w:rsidR="009574B0" w:rsidRPr="00F8741C">
        <w:t xml:space="preserve"> </w:t>
      </w:r>
      <w:r w:rsidR="00066B51" w:rsidRPr="00F8741C">
        <w:t>w</w:t>
      </w:r>
      <w:r w:rsidR="00883C64" w:rsidRPr="00F8741C">
        <w:t xml:space="preserve">ith the adoption of the GDPR, </w:t>
      </w:r>
      <w:r w:rsidR="001D50E8">
        <w:t xml:space="preserve">where </w:t>
      </w:r>
      <w:r w:rsidR="00883C64" w:rsidRPr="00F8741C">
        <w:t>awareness raisin</w:t>
      </w:r>
      <w:r w:rsidR="00066B51" w:rsidRPr="00F8741C">
        <w:t>g activities</w:t>
      </w:r>
      <w:r w:rsidR="00883C64" w:rsidRPr="00F8741C">
        <w:t xml:space="preserve"> were formalised</w:t>
      </w:r>
      <w:r w:rsidR="00066B51" w:rsidRPr="00F8741C">
        <w:t xml:space="preserve"> into a duty</w:t>
      </w:r>
      <w:r w:rsidR="00001DDE">
        <w:t xml:space="preserve"> under Article 57</w:t>
      </w:r>
      <w:r w:rsidR="009574B0" w:rsidRPr="00F8741C">
        <w:t xml:space="preserve">. The legislator, however, has not provided any cues as to how </w:t>
      </w:r>
      <w:r w:rsidR="00066B51" w:rsidRPr="00F8741C">
        <w:t>such</w:t>
      </w:r>
      <w:r w:rsidR="009574B0" w:rsidRPr="00F8741C">
        <w:t xml:space="preserve"> dut</w:t>
      </w:r>
      <w:r w:rsidR="00066B51" w:rsidRPr="00F8741C">
        <w:t>y</w:t>
      </w:r>
      <w:r w:rsidR="009574B0" w:rsidRPr="00F8741C">
        <w:t xml:space="preserve"> could be implemented or facilitated</w:t>
      </w:r>
      <w:r w:rsidR="00001DDE">
        <w:t xml:space="preserve"> in practice</w:t>
      </w:r>
      <w:r w:rsidR="009574B0" w:rsidRPr="00F8741C">
        <w:t xml:space="preserve">. At the same time, it is clear that awareness raising </w:t>
      </w:r>
      <w:r w:rsidR="00066B51" w:rsidRPr="00F8741C">
        <w:t xml:space="preserve">constitutes a profound part of </w:t>
      </w:r>
      <w:r w:rsidR="00C0793C">
        <w:t xml:space="preserve">both </w:t>
      </w:r>
      <w:r w:rsidR="00066B51" w:rsidRPr="00F8741C">
        <w:t>the compliance focused enforcement</w:t>
      </w:r>
      <w:r w:rsidR="00F52A9B" w:rsidRPr="00F8741C">
        <w:t>,</w:t>
      </w:r>
      <w:r w:rsidR="00066B51" w:rsidRPr="00F8741C">
        <w:t xml:space="preserve"> and </w:t>
      </w:r>
      <w:r w:rsidR="009574B0" w:rsidRPr="00F8741C">
        <w:t>the deterrence approach</w:t>
      </w:r>
      <w:r w:rsidR="00F52A9B" w:rsidRPr="00F8741C">
        <w:t>, it</w:t>
      </w:r>
      <w:r w:rsidR="009574B0" w:rsidRPr="00F8741C">
        <w:t xml:space="preserve"> requires regulators to consider strategies that could further advance their efforts.</w:t>
      </w:r>
    </w:p>
    <w:p w14:paraId="5C9F4ABB" w14:textId="6334598A" w:rsidR="0095675B" w:rsidRPr="00F8741C" w:rsidRDefault="009574B0" w:rsidP="00ED6EE4">
      <w:r w:rsidRPr="00F8741C">
        <w:t>In our contribution we argue that knowledge gathered during the interviews of STARII project on the awareness raising practices of DPAs through the lens of SMEs, offers valuable insights in this regard.</w:t>
      </w:r>
      <w:r w:rsidR="00001DDE">
        <w:rPr>
          <w:rStyle w:val="FootnoteReference"/>
        </w:rPr>
        <w:footnoteReference w:id="66"/>
      </w:r>
      <w:r w:rsidRPr="00F8741C">
        <w:t xml:space="preserve"> </w:t>
      </w:r>
      <w:r w:rsidR="008B1A99" w:rsidRPr="00F8741C">
        <w:t xml:space="preserve">We found that while some of the DPAs have issued SME focused guidelines, in general, SMEs and </w:t>
      </w:r>
      <w:r w:rsidR="00805AFA">
        <w:t xml:space="preserve">SME Associations </w:t>
      </w:r>
      <w:r w:rsidR="00001DDE">
        <w:t>deem the</w:t>
      </w:r>
      <w:r w:rsidR="008B1A99" w:rsidRPr="00F8741C">
        <w:t xml:space="preserve"> </w:t>
      </w:r>
      <w:r w:rsidR="00001DDE">
        <w:t xml:space="preserve">currently available </w:t>
      </w:r>
      <w:r w:rsidR="008B1A99" w:rsidRPr="00F8741C">
        <w:t xml:space="preserve">guidance </w:t>
      </w:r>
      <w:r w:rsidR="00001DDE">
        <w:t xml:space="preserve">to be </w:t>
      </w:r>
      <w:r w:rsidR="008B1A99" w:rsidRPr="00F8741C">
        <w:t>generic, theoretical and</w:t>
      </w:r>
      <w:r w:rsidR="00001DDE">
        <w:t xml:space="preserve"> they assert that it</w:t>
      </w:r>
      <w:r w:rsidR="008B1A99" w:rsidRPr="00F8741C">
        <w:t xml:space="preserve"> does not meet their needs. They </w:t>
      </w:r>
      <w:r w:rsidR="00001DDE">
        <w:t>argue</w:t>
      </w:r>
      <w:r w:rsidR="008B1A99" w:rsidRPr="00F8741C">
        <w:t xml:space="preserve"> for more practical guidance that would be tailored to their needs, preferably including more templates that could be easy to adapt to specific context of an enterprise. The criticism also extends to hotline services provide by DPAs</w:t>
      </w:r>
      <w:r w:rsidR="00001DDE">
        <w:t xml:space="preserve">, </w:t>
      </w:r>
      <w:r w:rsidR="00001DDE" w:rsidRPr="00F8741C">
        <w:t>even if DPAs themselves are satisfied with the way their hotline services perform.</w:t>
      </w:r>
      <w:r w:rsidR="00001DDE">
        <w:t xml:space="preserve"> </w:t>
      </w:r>
      <w:r w:rsidR="00001DDE" w:rsidRPr="00F8741C">
        <w:t xml:space="preserve">SMEs and </w:t>
      </w:r>
      <w:r w:rsidR="00805AFA">
        <w:t>SME Associations</w:t>
      </w:r>
      <w:r w:rsidR="00001DDE" w:rsidRPr="00F8741C">
        <w:t xml:space="preserve"> </w:t>
      </w:r>
      <w:r w:rsidR="008B1A99" w:rsidRPr="00F8741C">
        <w:t>reported</w:t>
      </w:r>
      <w:r w:rsidR="00001DDE">
        <w:t xml:space="preserve"> such</w:t>
      </w:r>
      <w:r w:rsidR="008B1A99" w:rsidRPr="00F8741C">
        <w:t xml:space="preserve"> </w:t>
      </w:r>
      <w:r w:rsidR="00001DDE">
        <w:t xml:space="preserve">services to </w:t>
      </w:r>
      <w:r w:rsidR="008B1A99" w:rsidRPr="00F8741C">
        <w:t>provide vague and untimely answers</w:t>
      </w:r>
      <w:r w:rsidR="00001DDE">
        <w:t>.</w:t>
      </w:r>
      <w:r w:rsidR="0095675B" w:rsidRPr="00F8741C">
        <w:t xml:space="preserve"> </w:t>
      </w:r>
      <w:r w:rsidR="00F52A9B" w:rsidRPr="00F8741C">
        <w:t>What this discrepancy seems to indicate is that DPAs when evaluating their performance</w:t>
      </w:r>
      <w:r w:rsidR="0095675B" w:rsidRPr="00F8741C">
        <w:t xml:space="preserve"> tak</w:t>
      </w:r>
      <w:r w:rsidR="00F52A9B" w:rsidRPr="00F8741C">
        <w:t>e</w:t>
      </w:r>
      <w:r w:rsidR="0095675B" w:rsidRPr="00F8741C">
        <w:t xml:space="preserve"> into account limitations set by the available financial and human resources</w:t>
      </w:r>
      <w:r w:rsidR="00001DDE">
        <w:t>, whereas SMEs seek for practical</w:t>
      </w:r>
      <w:r w:rsidR="005F77ED">
        <w:t>, yet not necessary legally binding</w:t>
      </w:r>
      <w:r w:rsidR="00001DDE">
        <w:t xml:space="preserve"> compliance advice</w:t>
      </w:r>
      <w:r w:rsidR="0095675B" w:rsidRPr="00F8741C">
        <w:t xml:space="preserve">. </w:t>
      </w:r>
    </w:p>
    <w:p w14:paraId="1D59D935" w14:textId="419F7937" w:rsidR="00F8741C" w:rsidRPr="00F8741C" w:rsidRDefault="00F52A9B" w:rsidP="00423EC4">
      <w:r w:rsidRPr="00F8741C">
        <w:t xml:space="preserve">Another important finding is that </w:t>
      </w:r>
      <w:r w:rsidR="00626AD4" w:rsidRPr="00F8741C">
        <w:t xml:space="preserve">DPAs claim that for them the </w:t>
      </w:r>
      <w:r w:rsidR="0006344B" w:rsidRPr="00F8741C">
        <w:t xml:space="preserve">direct interaction with SMEs is one of the </w:t>
      </w:r>
      <w:r w:rsidR="00C87D1F" w:rsidRPr="00F8741C">
        <w:t>key</w:t>
      </w:r>
      <w:r w:rsidR="00C87D1F">
        <w:t>ways</w:t>
      </w:r>
      <w:r w:rsidR="0006344B" w:rsidRPr="00F8741C">
        <w:t xml:space="preserve"> to learn their </w:t>
      </w:r>
      <w:r w:rsidRPr="00F8741C">
        <w:t xml:space="preserve">data protection needs and </w:t>
      </w:r>
      <w:r w:rsidR="0095675B" w:rsidRPr="00F8741C">
        <w:t xml:space="preserve">compliance challenges. The element of direct interaction is consistent with the previous research that indicates that for DPAs </w:t>
      </w:r>
      <w:r w:rsidR="00001DDE">
        <w:t xml:space="preserve">an </w:t>
      </w:r>
      <w:r w:rsidR="0095675B" w:rsidRPr="00F8741C">
        <w:t xml:space="preserve">external </w:t>
      </w:r>
      <w:r w:rsidRPr="00F8741C">
        <w:t xml:space="preserve">input is crucial for </w:t>
      </w:r>
      <w:r w:rsidR="00F8741C" w:rsidRPr="00F8741C">
        <w:t>developing</w:t>
      </w:r>
      <w:r w:rsidRPr="00F8741C">
        <w:t xml:space="preserve"> expertise in a certain area</w:t>
      </w:r>
      <w:r w:rsidR="00000354" w:rsidRPr="00F8741C">
        <w:t>.</w:t>
      </w:r>
      <w:r w:rsidRPr="00F8741C">
        <w:rPr>
          <w:rStyle w:val="FootnoteReference"/>
        </w:rPr>
        <w:footnoteReference w:id="67"/>
      </w:r>
      <w:r w:rsidR="00000354" w:rsidRPr="00F8741C">
        <w:t xml:space="preserve"> </w:t>
      </w:r>
      <w:r w:rsidR="007F4363" w:rsidRPr="00F8741C">
        <w:t>Following this line of reasoning, in this contribution</w:t>
      </w:r>
      <w:r w:rsidR="00000354" w:rsidRPr="00F8741C">
        <w:t xml:space="preserve"> we consider alternative approaches to </w:t>
      </w:r>
      <w:r w:rsidR="00F8741C" w:rsidRPr="00F8741C">
        <w:t xml:space="preserve">reach out and </w:t>
      </w:r>
      <w:r w:rsidR="00000354" w:rsidRPr="00F8741C">
        <w:t xml:space="preserve">learn concerns of </w:t>
      </w:r>
      <w:r w:rsidR="00F8741C" w:rsidRPr="00F8741C">
        <w:t>SMEs –</w:t>
      </w:r>
      <w:r w:rsidR="00FF3008">
        <w:t xml:space="preserve"> the</w:t>
      </w:r>
      <w:r w:rsidR="00F8741C" w:rsidRPr="00F8741C">
        <w:t xml:space="preserve"> </w:t>
      </w:r>
      <w:r w:rsidR="00000354" w:rsidRPr="00F8741C">
        <w:t xml:space="preserve">key stakeholders’ that </w:t>
      </w:r>
      <w:r w:rsidR="00EF6AD5">
        <w:t xml:space="preserve">are at </w:t>
      </w:r>
      <w:r w:rsidR="00000354" w:rsidRPr="00F8741C">
        <w:t xml:space="preserve">the core of the EU economy. </w:t>
      </w:r>
      <w:r w:rsidR="00F8741C" w:rsidRPr="00F8741C">
        <w:t>Recognising limitations of communication with representatives of single enterprises, we</w:t>
      </w:r>
      <w:r w:rsidR="007F4363" w:rsidRPr="00F8741C">
        <w:t xml:space="preserve"> put forward a recommendation for DPAs to work more closely with </w:t>
      </w:r>
      <w:r w:rsidR="00805AFA">
        <w:t>SME Associations</w:t>
      </w:r>
      <w:r w:rsidR="00001DDE">
        <w:t>.</w:t>
      </w:r>
      <w:r w:rsidR="007F4363" w:rsidRPr="00F8741C">
        <w:t xml:space="preserve"> </w:t>
      </w:r>
      <w:r w:rsidR="00001DDE">
        <w:t>T</w:t>
      </w:r>
      <w:r w:rsidR="00F8741C" w:rsidRPr="00F8741C">
        <w:t>his collaboration</w:t>
      </w:r>
      <w:r w:rsidR="007F4363" w:rsidRPr="00F8741C">
        <w:t xml:space="preserve"> provides</w:t>
      </w:r>
      <w:r w:rsidR="00F8741C" w:rsidRPr="00F8741C">
        <w:t xml:space="preserve"> </w:t>
      </w:r>
      <w:r w:rsidR="007F4363" w:rsidRPr="00F8741C">
        <w:t>a</w:t>
      </w:r>
      <w:r w:rsidR="00F8741C" w:rsidRPr="00F8741C">
        <w:t>n opportunity</w:t>
      </w:r>
      <w:r w:rsidR="007F4363" w:rsidRPr="00F8741C">
        <w:t xml:space="preserve"> to learn distinctive needs of SMEs across a range of sectors in fast and </w:t>
      </w:r>
      <w:r w:rsidR="00F8741C" w:rsidRPr="00F8741C">
        <w:t>cost-efficient</w:t>
      </w:r>
      <w:r w:rsidR="007F4363" w:rsidRPr="00F8741C">
        <w:t xml:space="preserve"> way. </w:t>
      </w:r>
    </w:p>
    <w:p w14:paraId="36745057" w14:textId="53B8A8EC" w:rsidR="00D01C84" w:rsidRDefault="000E6BC8" w:rsidP="00F8741C">
      <w:r>
        <w:t>DPAs have in recent years been increas</w:t>
      </w:r>
      <w:r w:rsidR="00805AFA">
        <w:t>ing</w:t>
      </w:r>
      <w:r>
        <w:t xml:space="preserve"> and improving the quality of their collaboration with each other th</w:t>
      </w:r>
      <w:r w:rsidR="00805AFA">
        <w:t>r</w:t>
      </w:r>
      <w:r>
        <w:t>ough various mechanisms</w:t>
      </w:r>
      <w:r w:rsidR="00F5155F">
        <w:rPr>
          <w:rStyle w:val="FootnoteReference"/>
        </w:rPr>
        <w:footnoteReference w:id="68"/>
      </w:r>
      <w:r>
        <w:t>, and also learning from adjacent fields of regulation (e.g. competition and consumer protection</w:t>
      </w:r>
      <w:r w:rsidR="00805AFA">
        <w:t xml:space="preserve"> laws</w:t>
      </w:r>
      <w:r>
        <w:t>)</w:t>
      </w:r>
      <w:r w:rsidR="00805AFA">
        <w:t>.</w:t>
      </w:r>
      <w:r w:rsidR="00C174BD">
        <w:rPr>
          <w:rStyle w:val="FootnoteReference"/>
        </w:rPr>
        <w:footnoteReference w:id="69"/>
      </w:r>
      <w:r>
        <w:t xml:space="preserve"> </w:t>
      </w:r>
      <w:r w:rsidR="00126A47" w:rsidRPr="00F8741C">
        <w:t xml:space="preserve">By taking into account findings of interviews with DPAs and </w:t>
      </w:r>
      <w:r w:rsidR="00805AFA">
        <w:t>SME Associations</w:t>
      </w:r>
      <w:r w:rsidR="00126A47" w:rsidRPr="00F8741C">
        <w:t xml:space="preserve">, we consider possible advantages of </w:t>
      </w:r>
      <w:r w:rsidR="0023617D">
        <w:t xml:space="preserve">a closer </w:t>
      </w:r>
      <w:r w:rsidR="0023617D" w:rsidRPr="00F8741C">
        <w:t>collaboration</w:t>
      </w:r>
      <w:r w:rsidR="00126A47" w:rsidRPr="00F8741C">
        <w:t xml:space="preserve"> </w:t>
      </w:r>
      <w:r w:rsidR="0023617D">
        <w:t>among the two</w:t>
      </w:r>
      <w:r w:rsidR="00126A47" w:rsidRPr="00F8741C">
        <w:t>. We suggest that there are good reasons to believe that</w:t>
      </w:r>
      <w:r w:rsidR="00423EC4" w:rsidRPr="00F8741C">
        <w:t xml:space="preserve"> engaging umbrella organisations to</w:t>
      </w:r>
      <w:r w:rsidR="00947FE6">
        <w:t xml:space="preserve"> co-create and</w:t>
      </w:r>
      <w:r w:rsidR="00423EC4" w:rsidRPr="00F8741C">
        <w:t xml:space="preserve"> disseminate guidance for Small and Medium-size Enterprises</w:t>
      </w:r>
      <w:r w:rsidR="00126A47" w:rsidRPr="00F8741C">
        <w:t xml:space="preserve"> could be benefit and assist DPAs in their role of a leader. </w:t>
      </w:r>
      <w:r w:rsidR="00FF3008">
        <w:t xml:space="preserve">This </w:t>
      </w:r>
      <w:r w:rsidR="00126A47" w:rsidRPr="00F8741C">
        <w:t>collaborati</w:t>
      </w:r>
      <w:r w:rsidR="00FF3008">
        <w:t xml:space="preserve">on in practice </w:t>
      </w:r>
      <w:r w:rsidR="00EF6AD5">
        <w:t xml:space="preserve">could help to develop a stronger trust-based relationship between the regulators and </w:t>
      </w:r>
      <w:r w:rsidR="00A42D2C" w:rsidRPr="00F8741C">
        <w:t>SME</w:t>
      </w:r>
      <w:r w:rsidR="00EF6AD5">
        <w:t xml:space="preserve">. Some steps have been taken in this regard, and we are able to point out instances where </w:t>
      </w:r>
      <w:r w:rsidR="00805AFA">
        <w:t>SME Associations</w:t>
      </w:r>
      <w:r w:rsidR="00EF6AD5">
        <w:t xml:space="preserve"> and DPAs interact, albeit such interaction has been partially encouraged by external funding. </w:t>
      </w:r>
    </w:p>
    <w:p w14:paraId="3FF73A08" w14:textId="67F80399" w:rsidR="00DA358F" w:rsidRPr="00D01C84" w:rsidRDefault="00EF6AD5" w:rsidP="00D32E35">
      <w:r>
        <w:t>At the same time, we believe this collaboration could be furthered</w:t>
      </w:r>
      <w:r w:rsidR="00D01C84">
        <w:t xml:space="preserve"> and mutually beneficial</w:t>
      </w:r>
      <w:r>
        <w:t>.</w:t>
      </w:r>
      <w:r w:rsidR="00D01C84">
        <w:t xml:space="preserve"> For DPAs</w:t>
      </w:r>
      <w:r w:rsidR="00336B99">
        <w:t xml:space="preserve"> it could facilitate strategic enforcement decisions and optimise financial and human resources.</w:t>
      </w:r>
      <w:r>
        <w:t xml:space="preserve"> </w:t>
      </w:r>
      <w:r w:rsidR="00336B99">
        <w:t>D</w:t>
      </w:r>
      <w:r w:rsidR="00DA358F" w:rsidRPr="00F8741C">
        <w:t xml:space="preserve">espite expressions by some </w:t>
      </w:r>
      <w:r w:rsidR="00336B99">
        <w:t>DPA representatives</w:t>
      </w:r>
      <w:r w:rsidR="00DA358F" w:rsidRPr="00F8741C">
        <w:t xml:space="preserve"> that funding provision for </w:t>
      </w:r>
      <w:r w:rsidR="00D01C84">
        <w:t>them</w:t>
      </w:r>
      <w:r w:rsidR="00DA358F" w:rsidRPr="00F8741C">
        <w:t xml:space="preserve"> had been improved in their member state,</w:t>
      </w:r>
      <w:r w:rsidR="00336B99">
        <w:t xml:space="preserve"> DPAs</w:t>
      </w:r>
      <w:r w:rsidR="00DA358F" w:rsidRPr="00F8741C">
        <w:t xml:space="preserve"> like many public sector organisations, remain resource limited and sometimes such as in the case where interviews could not be facilitated, heavily resource restricted. </w:t>
      </w:r>
      <w:r w:rsidR="00001DDE">
        <w:lastRenderedPageBreak/>
        <w:t xml:space="preserve">For </w:t>
      </w:r>
      <w:r w:rsidR="00805AFA">
        <w:t>SME Associations</w:t>
      </w:r>
      <w:r w:rsidR="00001DDE">
        <w:t>, such collaboration would provide a possibility for wider</w:t>
      </w:r>
      <w:r w:rsidR="0023617D">
        <w:t xml:space="preserve"> and </w:t>
      </w:r>
      <w:r w:rsidR="00001DDE">
        <w:t xml:space="preserve">more nuanced </w:t>
      </w:r>
      <w:r w:rsidR="00001DDE" w:rsidRPr="00001DDE">
        <w:t xml:space="preserve">SMEs </w:t>
      </w:r>
      <w:r w:rsidR="00001DDE">
        <w:t xml:space="preserve">interest </w:t>
      </w:r>
      <w:r w:rsidR="00001DDE" w:rsidRPr="00001DDE">
        <w:t>representation</w:t>
      </w:r>
      <w:r w:rsidR="0023617D">
        <w:t xml:space="preserve"> of their members</w:t>
      </w:r>
      <w:r w:rsidR="00001DDE">
        <w:t>.</w:t>
      </w:r>
      <w:r w:rsidR="00B34CEA">
        <w:t xml:space="preserve"> Such interaction would necessarily differ across EU Member States but in all </w:t>
      </w:r>
      <w:r w:rsidR="00C87D1F">
        <w:t>cases, it</w:t>
      </w:r>
      <w:r w:rsidR="00B34CEA">
        <w:t xml:space="preserve"> would require initial efforts to build trust and establish relationships between the two categories of organisations. We hope that this research paper can be an initial stimulus for this and potentially </w:t>
      </w:r>
      <w:r w:rsidR="00C87D1F">
        <w:t>open up</w:t>
      </w:r>
      <w:r w:rsidR="00B34CEA">
        <w:t xml:space="preserve"> some conversations. </w:t>
      </w:r>
    </w:p>
    <w:p w14:paraId="080EBCCC" w14:textId="77777777" w:rsidR="00423EC4" w:rsidRPr="00F8741C" w:rsidRDefault="00423EC4" w:rsidP="00336B99"/>
    <w:p w14:paraId="69F095D6" w14:textId="77777777" w:rsidR="006D4691" w:rsidRPr="00F8741C" w:rsidRDefault="006D4691">
      <w:pPr>
        <w:rPr>
          <w:rFonts w:asciiTheme="majorHAnsi" w:hAnsiTheme="majorHAnsi" w:cstheme="majorHAnsi"/>
          <w:sz w:val="24"/>
          <w:szCs w:val="24"/>
        </w:rPr>
      </w:pPr>
      <w:r w:rsidRPr="00F8741C">
        <w:rPr>
          <w:rFonts w:asciiTheme="majorHAnsi" w:hAnsiTheme="majorHAnsi" w:cstheme="majorHAnsi"/>
          <w:sz w:val="24"/>
          <w:szCs w:val="24"/>
        </w:rPr>
        <w:br w:type="page"/>
      </w:r>
    </w:p>
    <w:p w14:paraId="1500B18F" w14:textId="6EEBDFAB" w:rsidR="008538A5" w:rsidRPr="00F8741C" w:rsidRDefault="00657079" w:rsidP="006D4691">
      <w:pPr>
        <w:jc w:val="center"/>
        <w:rPr>
          <w:rFonts w:asciiTheme="majorHAnsi" w:hAnsiTheme="majorHAnsi" w:cstheme="majorHAnsi"/>
          <w:b/>
          <w:bCs/>
          <w:sz w:val="24"/>
          <w:szCs w:val="24"/>
        </w:rPr>
      </w:pPr>
      <w:r w:rsidRPr="00F8741C">
        <w:rPr>
          <w:rFonts w:asciiTheme="majorHAnsi" w:hAnsiTheme="majorHAnsi" w:cstheme="majorHAnsi"/>
          <w:b/>
          <w:bCs/>
          <w:sz w:val="24"/>
          <w:szCs w:val="24"/>
        </w:rPr>
        <w:lastRenderedPageBreak/>
        <w:t>Annex</w:t>
      </w:r>
    </w:p>
    <w:p w14:paraId="732262C0" w14:textId="4DB1102D" w:rsidR="00657079" w:rsidRPr="00F8741C" w:rsidRDefault="00657079" w:rsidP="006D4691">
      <w:pPr>
        <w:jc w:val="center"/>
        <w:rPr>
          <w:rFonts w:asciiTheme="majorHAnsi" w:hAnsiTheme="majorHAnsi" w:cstheme="majorHAnsi"/>
          <w:b/>
          <w:bCs/>
          <w:sz w:val="24"/>
          <w:szCs w:val="24"/>
        </w:rPr>
      </w:pPr>
      <w:r w:rsidRPr="00F8741C">
        <w:rPr>
          <w:rFonts w:asciiTheme="majorHAnsi" w:hAnsiTheme="majorHAnsi" w:cstheme="majorHAnsi"/>
          <w:b/>
          <w:bCs/>
          <w:sz w:val="24"/>
          <w:szCs w:val="24"/>
        </w:rPr>
        <w:t>Article 57</w:t>
      </w:r>
    </w:p>
    <w:p w14:paraId="0933620E" w14:textId="77777777" w:rsidR="00657079" w:rsidRPr="00F8741C" w:rsidRDefault="00657079" w:rsidP="006D4691">
      <w:pPr>
        <w:jc w:val="center"/>
        <w:rPr>
          <w:rFonts w:asciiTheme="majorHAnsi" w:hAnsiTheme="majorHAnsi" w:cstheme="majorHAnsi"/>
          <w:b/>
          <w:bCs/>
          <w:sz w:val="24"/>
          <w:szCs w:val="24"/>
        </w:rPr>
      </w:pPr>
      <w:r w:rsidRPr="00F8741C">
        <w:rPr>
          <w:rFonts w:asciiTheme="majorHAnsi" w:hAnsiTheme="majorHAnsi" w:cstheme="majorHAnsi"/>
          <w:b/>
          <w:bCs/>
          <w:sz w:val="24"/>
          <w:szCs w:val="24"/>
        </w:rPr>
        <w:t>Tasks</w:t>
      </w:r>
    </w:p>
    <w:p w14:paraId="134561C5" w14:textId="77777777" w:rsidR="00657079" w:rsidRPr="00F8741C" w:rsidRDefault="00657079" w:rsidP="00336B99"/>
    <w:p w14:paraId="77DFEAEE" w14:textId="16D6065E" w:rsidR="00657079" w:rsidRPr="00F8741C" w:rsidRDefault="00657079" w:rsidP="00336B99">
      <w:r w:rsidRPr="00F8741C">
        <w:t>1.   Without prejudice to other tasks set out under this Regulation, each supervisory authority shall on its territory:</w:t>
      </w:r>
    </w:p>
    <w:p w14:paraId="348F026D" w14:textId="42F046B9" w:rsidR="00657079" w:rsidRPr="00336B99" w:rsidRDefault="00657079" w:rsidP="00657079">
      <w:pPr>
        <w:pStyle w:val="ListParagraph"/>
        <w:numPr>
          <w:ilvl w:val="0"/>
          <w:numId w:val="10"/>
        </w:numPr>
      </w:pPr>
      <w:r w:rsidRPr="00336B99">
        <w:t>monitor and enforce the application of this Regulation;</w:t>
      </w:r>
    </w:p>
    <w:p w14:paraId="2D21AB61" w14:textId="7C60FDF4" w:rsidR="00657079" w:rsidRPr="00336B99" w:rsidRDefault="00657079" w:rsidP="00657079">
      <w:pPr>
        <w:pStyle w:val="ListParagraph"/>
        <w:numPr>
          <w:ilvl w:val="0"/>
          <w:numId w:val="10"/>
        </w:numPr>
      </w:pPr>
      <w:r w:rsidRPr="00336B99">
        <w:t>promote public awareness and understanding of the risks, rules, safeguards and rights in relation to processing. Activities addressed specifically to children shall receive specific attention;</w:t>
      </w:r>
    </w:p>
    <w:p w14:paraId="4A0E0991" w14:textId="30724D47" w:rsidR="00657079" w:rsidRPr="00336B99" w:rsidRDefault="00657079" w:rsidP="00657079">
      <w:pPr>
        <w:pStyle w:val="ListParagraph"/>
        <w:numPr>
          <w:ilvl w:val="0"/>
          <w:numId w:val="10"/>
        </w:numPr>
      </w:pPr>
      <w:r w:rsidRPr="00336B99">
        <w:t>advise, in accordance with Member State law, the national parliament, the government, and other institutions and bodies on legislative and administrative measures relating to the protection of natural persons' rights and freedoms with regard to processing;</w:t>
      </w:r>
    </w:p>
    <w:p w14:paraId="21F7B9F7" w14:textId="21624769" w:rsidR="00657079" w:rsidRPr="00336B99" w:rsidRDefault="00657079" w:rsidP="00657079">
      <w:pPr>
        <w:pStyle w:val="ListParagraph"/>
        <w:numPr>
          <w:ilvl w:val="0"/>
          <w:numId w:val="10"/>
        </w:numPr>
      </w:pPr>
      <w:r w:rsidRPr="00336B99">
        <w:t>promote the awareness of controllers and processors of their obligations under this Regulation;</w:t>
      </w:r>
    </w:p>
    <w:p w14:paraId="6EA8B3C5" w14:textId="6EE18B8C" w:rsidR="00657079" w:rsidRPr="00336B99" w:rsidRDefault="00657079" w:rsidP="00657079">
      <w:pPr>
        <w:pStyle w:val="ListParagraph"/>
        <w:numPr>
          <w:ilvl w:val="0"/>
          <w:numId w:val="10"/>
        </w:numPr>
      </w:pPr>
      <w:r w:rsidRPr="00336B99">
        <w:t>upon request, provide information to any data subject concerning the exercise of their rights under this Regulation and, if appropriate, cooperate with the supervisory authorities in other Member States to that end;</w:t>
      </w:r>
    </w:p>
    <w:p w14:paraId="28E012AD" w14:textId="14AC6FA3" w:rsidR="00657079" w:rsidRPr="00336B99" w:rsidRDefault="00657079" w:rsidP="00657079">
      <w:pPr>
        <w:pStyle w:val="ListParagraph"/>
        <w:numPr>
          <w:ilvl w:val="0"/>
          <w:numId w:val="10"/>
        </w:numPr>
      </w:pPr>
      <w:r w:rsidRPr="00336B99">
        <w:t>handle complaints lodged by a data subject, or by a body, organisation or association in accordance with Article 80, and investigate, to the extent appropriate, the subject matter of the complaint and inform the complainant of the progress and the outcome of the investigation within a reasonable period, in particular if further investigation or coordination with another supervisory authority is necessary;</w:t>
      </w:r>
    </w:p>
    <w:p w14:paraId="7EF657F0" w14:textId="412BC40A" w:rsidR="00657079" w:rsidRPr="00336B99" w:rsidRDefault="00657079" w:rsidP="00657079">
      <w:pPr>
        <w:pStyle w:val="ListParagraph"/>
        <w:numPr>
          <w:ilvl w:val="0"/>
          <w:numId w:val="10"/>
        </w:numPr>
      </w:pPr>
      <w:r w:rsidRPr="00336B99">
        <w:t>cooperate with, including sharing information and provide mutual assistance to, other supervisory authorities with a view to ensuring the consistency of application and enforcement of this Regulation;</w:t>
      </w:r>
    </w:p>
    <w:p w14:paraId="56657789" w14:textId="26B96BB1" w:rsidR="00657079" w:rsidRPr="00336B99" w:rsidRDefault="00657079" w:rsidP="00657079">
      <w:pPr>
        <w:pStyle w:val="ListParagraph"/>
        <w:numPr>
          <w:ilvl w:val="0"/>
          <w:numId w:val="10"/>
        </w:numPr>
      </w:pPr>
      <w:r w:rsidRPr="00336B99">
        <w:t>conduct investigations on the application of this Regulation, including on the basis of information received from another supervisory authority or other public authority;</w:t>
      </w:r>
    </w:p>
    <w:p w14:paraId="3216FEF6" w14:textId="38E83A61" w:rsidR="00657079" w:rsidRPr="00336B99" w:rsidRDefault="00657079" w:rsidP="00657079">
      <w:pPr>
        <w:pStyle w:val="ListParagraph"/>
        <w:numPr>
          <w:ilvl w:val="0"/>
          <w:numId w:val="10"/>
        </w:numPr>
      </w:pPr>
      <w:r w:rsidRPr="00336B99">
        <w:t>monitor relevant developments, insofar as they have an impact on the protection of personal data, in particular the development of information and communication technologies and commercial practices;</w:t>
      </w:r>
    </w:p>
    <w:p w14:paraId="0117D409" w14:textId="25CECEBD" w:rsidR="00657079" w:rsidRPr="00336B99" w:rsidRDefault="00657079" w:rsidP="00657079">
      <w:pPr>
        <w:pStyle w:val="ListParagraph"/>
        <w:numPr>
          <w:ilvl w:val="0"/>
          <w:numId w:val="10"/>
        </w:numPr>
      </w:pPr>
      <w:r w:rsidRPr="00336B99">
        <w:t>adopt standard contractual clauses referred to in Article 28(8) and in point (d) of Article 46(2);</w:t>
      </w:r>
    </w:p>
    <w:p w14:paraId="0F31CFA6" w14:textId="08B22CE1" w:rsidR="00657079" w:rsidRPr="00336B99" w:rsidRDefault="00657079" w:rsidP="00657079">
      <w:pPr>
        <w:pStyle w:val="ListParagraph"/>
        <w:numPr>
          <w:ilvl w:val="0"/>
          <w:numId w:val="10"/>
        </w:numPr>
      </w:pPr>
      <w:r w:rsidRPr="00336B99">
        <w:t>establish and maintain a list in relation to the requirement for data protection impact assessment pursuant to Article 35(4);</w:t>
      </w:r>
    </w:p>
    <w:p w14:paraId="1CB9FB80" w14:textId="1715D946" w:rsidR="00657079" w:rsidRPr="00336B99" w:rsidRDefault="00657079" w:rsidP="00657079">
      <w:pPr>
        <w:pStyle w:val="ListParagraph"/>
        <w:numPr>
          <w:ilvl w:val="0"/>
          <w:numId w:val="10"/>
        </w:numPr>
      </w:pPr>
      <w:r w:rsidRPr="00336B99">
        <w:t>give advice on the processing operations referred to in Article 36(2);</w:t>
      </w:r>
    </w:p>
    <w:p w14:paraId="5FD4CF81" w14:textId="54092CE9" w:rsidR="00657079" w:rsidRPr="00336B99" w:rsidRDefault="00657079" w:rsidP="00657079">
      <w:pPr>
        <w:pStyle w:val="ListParagraph"/>
        <w:numPr>
          <w:ilvl w:val="0"/>
          <w:numId w:val="10"/>
        </w:numPr>
      </w:pPr>
      <w:r w:rsidRPr="00336B99">
        <w:t>encourage the drawing up of codes of conduct pursuant to Article 40(1) and provide an opinion and approve such codes of conduct which provide sufficient safeguards, pursuant to Article 40(5);</w:t>
      </w:r>
    </w:p>
    <w:p w14:paraId="0D672825" w14:textId="41EF385D" w:rsidR="00657079" w:rsidRPr="00336B99" w:rsidRDefault="00657079" w:rsidP="00657079">
      <w:pPr>
        <w:pStyle w:val="ListParagraph"/>
        <w:numPr>
          <w:ilvl w:val="0"/>
          <w:numId w:val="10"/>
        </w:numPr>
      </w:pPr>
      <w:r w:rsidRPr="00336B99">
        <w:t>encourage the establishment of data protection certification mechanisms and of data protection seals and marks pursuant to Article 42(1), and approve the criteria of certification pursuant to Article 42(5);</w:t>
      </w:r>
    </w:p>
    <w:p w14:paraId="1E633459" w14:textId="2186FE89" w:rsidR="00657079" w:rsidRPr="00336B99" w:rsidRDefault="00657079" w:rsidP="00657079">
      <w:pPr>
        <w:pStyle w:val="ListParagraph"/>
        <w:numPr>
          <w:ilvl w:val="0"/>
          <w:numId w:val="10"/>
        </w:numPr>
      </w:pPr>
      <w:r w:rsidRPr="00336B99">
        <w:t>where applicable, carry out a periodic review of certifications issued in accordance with Article 42(7);</w:t>
      </w:r>
    </w:p>
    <w:p w14:paraId="5537F924" w14:textId="76FE0633" w:rsidR="00657079" w:rsidRPr="00336B99" w:rsidRDefault="00657079" w:rsidP="00657079">
      <w:pPr>
        <w:pStyle w:val="ListParagraph"/>
        <w:numPr>
          <w:ilvl w:val="0"/>
          <w:numId w:val="10"/>
        </w:numPr>
      </w:pPr>
      <w:r w:rsidRPr="00336B99">
        <w:t>draft and publish the criteria for accreditation of a body for monitoring codes of conduct pursuant to Article 41 and of a certification body pursuant to Article 43;</w:t>
      </w:r>
    </w:p>
    <w:p w14:paraId="762CBADB" w14:textId="225D1F64" w:rsidR="00657079" w:rsidRPr="00336B99" w:rsidRDefault="00657079" w:rsidP="00657079">
      <w:pPr>
        <w:pStyle w:val="ListParagraph"/>
        <w:numPr>
          <w:ilvl w:val="0"/>
          <w:numId w:val="10"/>
        </w:numPr>
      </w:pPr>
      <w:r w:rsidRPr="00336B99">
        <w:t>conduct the accreditation of a body for monitoring codes of conduct pursuant to Article 41 and of a certification body pursuant to Article 43;</w:t>
      </w:r>
    </w:p>
    <w:p w14:paraId="5565653B" w14:textId="26662755" w:rsidR="00657079" w:rsidRPr="00336B99" w:rsidRDefault="00657079" w:rsidP="00657079">
      <w:pPr>
        <w:pStyle w:val="ListParagraph"/>
        <w:numPr>
          <w:ilvl w:val="0"/>
          <w:numId w:val="10"/>
        </w:numPr>
      </w:pPr>
      <w:r w:rsidRPr="00336B99">
        <w:t>authorise contractual clauses and provisions referred to in Article 46(3);</w:t>
      </w:r>
    </w:p>
    <w:p w14:paraId="50DB2DE7" w14:textId="0B0AD312" w:rsidR="00657079" w:rsidRPr="00336B99" w:rsidRDefault="00657079" w:rsidP="00657079">
      <w:pPr>
        <w:pStyle w:val="ListParagraph"/>
        <w:numPr>
          <w:ilvl w:val="0"/>
          <w:numId w:val="10"/>
        </w:numPr>
      </w:pPr>
      <w:r w:rsidRPr="00336B99">
        <w:lastRenderedPageBreak/>
        <w:t>approve binding corporate rules pursuant to Article 47;</w:t>
      </w:r>
    </w:p>
    <w:p w14:paraId="049E2E03" w14:textId="1F3F8C8B" w:rsidR="00657079" w:rsidRPr="00336B99" w:rsidRDefault="00657079" w:rsidP="00657079">
      <w:pPr>
        <w:pStyle w:val="ListParagraph"/>
        <w:numPr>
          <w:ilvl w:val="0"/>
          <w:numId w:val="10"/>
        </w:numPr>
      </w:pPr>
      <w:r w:rsidRPr="00336B99">
        <w:t>contribute to the activities of the Board;</w:t>
      </w:r>
    </w:p>
    <w:p w14:paraId="60D82AB5" w14:textId="4390F86D" w:rsidR="00657079" w:rsidRPr="00336B99" w:rsidRDefault="00657079" w:rsidP="00657079">
      <w:pPr>
        <w:pStyle w:val="ListParagraph"/>
        <w:numPr>
          <w:ilvl w:val="0"/>
          <w:numId w:val="10"/>
        </w:numPr>
      </w:pPr>
      <w:r w:rsidRPr="00336B99">
        <w:t>keep internal records of infringements of this Regulation and of measures taken in accordance with Article 58(2); and</w:t>
      </w:r>
    </w:p>
    <w:p w14:paraId="308BFC4C" w14:textId="1BA36A63" w:rsidR="00657079" w:rsidRPr="00336B99" w:rsidRDefault="00657079" w:rsidP="00657079">
      <w:pPr>
        <w:pStyle w:val="ListParagraph"/>
        <w:numPr>
          <w:ilvl w:val="0"/>
          <w:numId w:val="10"/>
        </w:numPr>
      </w:pPr>
      <w:r w:rsidRPr="00336B99">
        <w:t>fulfil any other tasks related to the protection of personal data.</w:t>
      </w:r>
    </w:p>
    <w:p w14:paraId="0781ABDB" w14:textId="673527D6" w:rsidR="00657079" w:rsidRPr="00336B99" w:rsidRDefault="00657079" w:rsidP="00657079">
      <w:r w:rsidRPr="00336B99">
        <w:t>2.   Each supervisory authority shall facilitate the submission of complaints referred to in point (f) of paragraph 1 by measures such as a complaint submission form which can also be completed electronically, without excluding other means of communication.</w:t>
      </w:r>
    </w:p>
    <w:p w14:paraId="7451FD2F" w14:textId="7D462EB4" w:rsidR="00657079" w:rsidRPr="00336B99" w:rsidRDefault="00657079" w:rsidP="00657079">
      <w:r w:rsidRPr="00336B99">
        <w:t>3.   The performance of the tasks of each supervisory authority shall be free of charge for the data subject and, where applicable, for the data protection officer.</w:t>
      </w:r>
    </w:p>
    <w:p w14:paraId="5DBA9258" w14:textId="0C39578D" w:rsidR="004C0BD1" w:rsidRDefault="00657079" w:rsidP="004C0BD1">
      <w:r w:rsidRPr="00336B99">
        <w:t>4.   Where requests are manifestly unfounded or excessive, in particular because of their repetitive character, the supervisory authority may charge a reasonable fee based on administrative costs,</w:t>
      </w:r>
      <w:r w:rsidR="006B4330">
        <w:t xml:space="preserve"> </w:t>
      </w:r>
      <w:r w:rsidRPr="00336B99">
        <w:t>or refuse to act on the request. The supervisory authority shall bear the burden of demonstrating the manifestly unfounded or excessive character of the request.</w:t>
      </w:r>
    </w:p>
    <w:p w14:paraId="2DF09F17" w14:textId="77777777" w:rsidR="00336B99" w:rsidRPr="00F8741C" w:rsidRDefault="00336B99" w:rsidP="004C0BD1"/>
    <w:p w14:paraId="147FDAE6" w14:textId="77777777" w:rsidR="004C0BD1" w:rsidRPr="00F8741C" w:rsidRDefault="004C0BD1" w:rsidP="004C0BD1">
      <w:pPr>
        <w:jc w:val="center"/>
      </w:pPr>
    </w:p>
    <w:sectPr w:rsidR="004C0BD1" w:rsidRPr="00F8741C">
      <w:headerReference w:type="default" r:id="rId11"/>
      <w:footerReference w:type="default" r:id="rId1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5A1FC" w16cex:dateUtc="2020-03-25T09:25:00Z"/>
  <w16cex:commentExtensible w16cex:durableId="2225AA6E" w16cex:dateUtc="2020-03-25T10:01:00Z"/>
  <w16cex:commentExtensible w16cex:durableId="2225BD0E" w16cex:dateUtc="2020-03-25T11:20:00Z"/>
  <w16cex:commentExtensible w16cex:durableId="2225BFB0" w16cex:dateUtc="2020-03-25T11:32:00Z"/>
  <w16cex:commentExtensible w16cex:durableId="2225C370" w16cex:dateUtc="2020-03-25T11:48:00Z"/>
  <w16cex:commentExtensible w16cex:durableId="2225C39D" w16cex:dateUtc="2020-03-25T11:48:00Z"/>
  <w16cex:commentExtensible w16cex:durableId="2225C477" w16cex:dateUtc="2020-03-25T11:52:00Z"/>
  <w16cex:commentExtensible w16cex:durableId="2225C49F" w16cex:dateUtc="2020-03-25T11:53:00Z"/>
  <w16cex:commentExtensible w16cex:durableId="2225C4CB" w16cex:dateUtc="2020-03-25T11:53:00Z"/>
  <w16cex:commentExtensible w16cex:durableId="2225C5B3" w16cex:dateUtc="2020-03-25T11:57:00Z"/>
  <w16cex:commentExtensible w16cex:durableId="2225C85C" w16cex:dateUtc="2020-03-25T12:09:00Z"/>
  <w16cex:commentExtensible w16cex:durableId="2225C9DE" w16cex:dateUtc="2020-03-25T12:15:00Z"/>
  <w16cex:commentExtensible w16cex:durableId="2225CAC0" w16cex:dateUtc="2020-03-25T12:19:00Z"/>
  <w16cex:commentExtensible w16cex:durableId="2225CB7B" w16cex:dateUtc="2020-03-25T12:22:00Z"/>
  <w16cex:commentExtensible w16cex:durableId="2225CCEA" w16cex:dateUtc="2020-03-25T12:28:00Z"/>
  <w16cex:commentExtensible w16cex:durableId="2225CEB3" w16cex:dateUtc="2020-03-25T12:36:00Z"/>
  <w16cex:commentExtensible w16cex:durableId="2225D1D7" w16cex:dateUtc="2020-03-25T12: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7076D" w14:textId="77777777" w:rsidR="006C31BC" w:rsidRDefault="006C31BC" w:rsidP="00542737">
      <w:pPr>
        <w:spacing w:after="0"/>
      </w:pPr>
      <w:r>
        <w:separator/>
      </w:r>
    </w:p>
  </w:endnote>
  <w:endnote w:type="continuationSeparator" w:id="0">
    <w:p w14:paraId="486D57FB" w14:textId="77777777" w:rsidR="006C31BC" w:rsidRDefault="006C31BC" w:rsidP="005427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811804"/>
      <w:docPartObj>
        <w:docPartGallery w:val="Page Numbers (Bottom of Page)"/>
        <w:docPartUnique/>
      </w:docPartObj>
    </w:sdtPr>
    <w:sdtEndPr>
      <w:rPr>
        <w:rFonts w:asciiTheme="majorHAnsi" w:hAnsiTheme="majorHAnsi" w:cstheme="majorHAnsi"/>
        <w:noProof/>
        <w:sz w:val="20"/>
        <w:szCs w:val="20"/>
      </w:rPr>
    </w:sdtEndPr>
    <w:sdtContent>
      <w:p w14:paraId="7A048ABE" w14:textId="01A54DED" w:rsidR="008E4791" w:rsidRPr="001E4E8E" w:rsidRDefault="008E4791">
        <w:pPr>
          <w:pStyle w:val="Footer"/>
          <w:jc w:val="right"/>
          <w:rPr>
            <w:rFonts w:asciiTheme="majorHAnsi" w:hAnsiTheme="majorHAnsi" w:cstheme="majorHAnsi"/>
            <w:sz w:val="20"/>
            <w:szCs w:val="20"/>
          </w:rPr>
        </w:pPr>
        <w:r w:rsidRPr="001E4E8E">
          <w:rPr>
            <w:rFonts w:asciiTheme="majorHAnsi" w:hAnsiTheme="majorHAnsi" w:cstheme="majorHAnsi"/>
            <w:sz w:val="20"/>
            <w:szCs w:val="20"/>
          </w:rPr>
          <w:fldChar w:fldCharType="begin"/>
        </w:r>
        <w:r w:rsidRPr="001E4E8E">
          <w:rPr>
            <w:rFonts w:asciiTheme="majorHAnsi" w:hAnsiTheme="majorHAnsi" w:cstheme="majorHAnsi"/>
            <w:sz w:val="20"/>
            <w:szCs w:val="20"/>
          </w:rPr>
          <w:instrText xml:space="preserve"> PAGE   \* MERGEFORMAT </w:instrText>
        </w:r>
        <w:r w:rsidRPr="001E4E8E">
          <w:rPr>
            <w:rFonts w:asciiTheme="majorHAnsi" w:hAnsiTheme="majorHAnsi" w:cstheme="majorHAnsi"/>
            <w:sz w:val="20"/>
            <w:szCs w:val="20"/>
          </w:rPr>
          <w:fldChar w:fldCharType="separate"/>
        </w:r>
        <w:r>
          <w:rPr>
            <w:rFonts w:asciiTheme="majorHAnsi" w:hAnsiTheme="majorHAnsi" w:cstheme="majorHAnsi"/>
            <w:noProof/>
            <w:sz w:val="20"/>
            <w:szCs w:val="20"/>
          </w:rPr>
          <w:t>8</w:t>
        </w:r>
        <w:r w:rsidRPr="001E4E8E">
          <w:rPr>
            <w:rFonts w:asciiTheme="majorHAnsi" w:hAnsiTheme="majorHAnsi" w:cstheme="majorHAnsi"/>
            <w:noProof/>
            <w:sz w:val="20"/>
            <w:szCs w:val="20"/>
          </w:rPr>
          <w:fldChar w:fldCharType="end"/>
        </w:r>
      </w:p>
    </w:sdtContent>
  </w:sdt>
  <w:p w14:paraId="7C30E3EE" w14:textId="77777777" w:rsidR="008E4791" w:rsidRDefault="008E4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2E747" w14:textId="77777777" w:rsidR="006C31BC" w:rsidRDefault="006C31BC" w:rsidP="00542737">
      <w:pPr>
        <w:spacing w:after="0"/>
      </w:pPr>
      <w:r>
        <w:separator/>
      </w:r>
    </w:p>
  </w:footnote>
  <w:footnote w:type="continuationSeparator" w:id="0">
    <w:p w14:paraId="72436A59" w14:textId="77777777" w:rsidR="006C31BC" w:rsidRDefault="006C31BC" w:rsidP="00542737">
      <w:pPr>
        <w:spacing w:after="0"/>
      </w:pPr>
      <w:r>
        <w:continuationSeparator/>
      </w:r>
    </w:p>
  </w:footnote>
  <w:footnote w:id="1">
    <w:p w14:paraId="5C29C7D5" w14:textId="2A834656" w:rsidR="008E4791" w:rsidRPr="00C87D1F" w:rsidRDefault="008E4791"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Senior Research Analyst within the Policy, Ethics and Emerging Technologies (POET) team at Trilateral; </w:t>
      </w:r>
      <w:hyperlink r:id="rId1" w:history="1">
        <w:r w:rsidRPr="00C87D1F">
          <w:rPr>
            <w:rStyle w:val="Hyperlink"/>
            <w:rFonts w:asciiTheme="majorHAnsi" w:hAnsiTheme="majorHAnsi" w:cstheme="majorHAnsi"/>
            <w:sz w:val="18"/>
            <w:szCs w:val="18"/>
          </w:rPr>
          <w:t>leanne.cochrane@trilateralresearch.com</w:t>
        </w:r>
      </w:hyperlink>
      <w:r w:rsidRPr="00C87D1F">
        <w:rPr>
          <w:rFonts w:asciiTheme="majorHAnsi" w:hAnsiTheme="majorHAnsi" w:cstheme="majorHAnsi"/>
          <w:sz w:val="18"/>
          <w:szCs w:val="18"/>
        </w:rPr>
        <w:t xml:space="preserve">. </w:t>
      </w:r>
    </w:p>
  </w:footnote>
  <w:footnote w:id="2">
    <w:p w14:paraId="6DD58DD6" w14:textId="7BD5B609" w:rsidR="008E4791" w:rsidRPr="00C87D1F" w:rsidRDefault="008E4791"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Legal researcher at the Faculty of Law and Criminology of the Vrije Universiteit Brussel (VUB), the Research Group Law, Science, Technology and Society (LSTS), </w:t>
      </w:r>
      <w:hyperlink r:id="rId2" w:history="1">
        <w:r w:rsidRPr="00C87D1F">
          <w:rPr>
            <w:rStyle w:val="Hyperlink"/>
            <w:rFonts w:asciiTheme="majorHAnsi" w:hAnsiTheme="majorHAnsi" w:cstheme="majorHAnsi"/>
            <w:sz w:val="18"/>
            <w:szCs w:val="18"/>
          </w:rPr>
          <w:t>lina.jasmontaite@vub.be</w:t>
        </w:r>
      </w:hyperlink>
      <w:r w:rsidRPr="00C87D1F">
        <w:rPr>
          <w:rFonts w:asciiTheme="majorHAnsi" w:hAnsiTheme="majorHAnsi" w:cstheme="majorHAnsi"/>
          <w:sz w:val="18"/>
          <w:szCs w:val="18"/>
        </w:rPr>
        <w:t xml:space="preserve">. </w:t>
      </w:r>
    </w:p>
  </w:footnote>
  <w:footnote w:id="3">
    <w:p w14:paraId="5D09E8D9" w14:textId="060BC9DF" w:rsidR="008E4791" w:rsidRPr="00C87D1F" w:rsidRDefault="008E4791"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Senior Research Manager, Trilateral Research Ltd, </w:t>
      </w:r>
      <w:hyperlink r:id="rId3" w:history="1">
        <w:r w:rsidR="00C87D1F" w:rsidRPr="00312ECB">
          <w:rPr>
            <w:rStyle w:val="Hyperlink"/>
            <w:rFonts w:asciiTheme="majorHAnsi" w:hAnsiTheme="majorHAnsi" w:cstheme="majorHAnsi"/>
            <w:sz w:val="18"/>
            <w:szCs w:val="18"/>
          </w:rPr>
          <w:t>david.barnard-wills@trilateralresearch.com</w:t>
        </w:r>
      </w:hyperlink>
      <w:r w:rsidR="00C87D1F">
        <w:rPr>
          <w:rFonts w:asciiTheme="majorHAnsi" w:hAnsiTheme="majorHAnsi" w:cstheme="majorHAnsi"/>
          <w:sz w:val="18"/>
          <w:szCs w:val="18"/>
        </w:rPr>
        <w:t xml:space="preserve">. </w:t>
      </w:r>
    </w:p>
  </w:footnote>
  <w:footnote w:id="4">
    <w:p w14:paraId="531E9E56" w14:textId="53F79191" w:rsidR="008E4791" w:rsidRPr="00C87D1F" w:rsidRDefault="008E4791"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This contribution is prepared thanks to the funding made available in the STAR II project (Support small and medium enterprises on the data protection reform II (2018-2020), which  is  co-funded by the European  Union under the  Rights, Equality and Citizenship Programme 2014-2020 (REC-RDAT-TRAI-AG-2017) under Grant Agreement No. 814775.</w:t>
      </w:r>
    </w:p>
  </w:footnote>
  <w:footnote w:id="5">
    <w:p w14:paraId="3C0C6535" w14:textId="50EF6E58" w:rsidR="008E4791" w:rsidRPr="00C87D1F" w:rsidRDefault="008E4791"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When referring to Independent Supervisory Authorities we use the following terms: Data Protection Authorities, DPAs and regulators.</w:t>
      </w:r>
    </w:p>
  </w:footnote>
  <w:footnote w:id="6">
    <w:p w14:paraId="2D63C8A8" w14:textId="0C690E59" w:rsidR="008E4791" w:rsidRPr="00C87D1F" w:rsidRDefault="008E4791"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Centre for Information Policy Leadership, ‘Regulating for Results Strategies and Priorities for Leadership and Engagement: A Discussion Paper’ (2017) p. 7-8.</w:t>
      </w:r>
    </w:p>
  </w:footnote>
  <w:footnote w:id="7">
    <w:p w14:paraId="5CB14723" w14:textId="355820C8" w:rsidR="008E4791" w:rsidRPr="00C87D1F" w:rsidRDefault="008E4791"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w:t>
      </w:r>
      <w:r w:rsidRPr="00C87D1F">
        <w:rPr>
          <w:rFonts w:asciiTheme="majorHAnsi" w:hAnsiTheme="majorHAnsi" w:cstheme="majorHAnsi"/>
          <w:sz w:val="18"/>
          <w:szCs w:val="18"/>
        </w:rPr>
        <w:fldChar w:fldCharType="begin" w:fldLock="1"/>
      </w:r>
      <w:r w:rsidRPr="00C87D1F">
        <w:rPr>
          <w:rFonts w:asciiTheme="majorHAnsi" w:hAnsiTheme="majorHAnsi" w:cstheme="majorHAnsi"/>
          <w:sz w:val="18"/>
          <w:szCs w:val="18"/>
        </w:rPr>
        <w:instrText>ADDIN CSL_CITATION {"citationItems":[{"id":"ITEM-1","itemData":{"DOI":"http://eur-lex.europa.eu/pri/en/oj/dat/2003/l_285/l_28520031101en00330037.pdf","ISBN":"9251032718","ISSN":"1977-0677","PMID":"25246403","abstract":"REGULATION (EU) 2016/679 OF THE EUROPEAN PARLIAMENT AND OF THE COUNCIL of 27 April 2016 on the protection of natural persons with regard to the processing of personal data and on the free movement of such data, and repealing Directive 95/46/EC (General Data Protection Regulation)","author":[{"dropping-particle":"","family":"European Union","given":"","non-dropping-particle":"","parse-names":false,"suffix":""}],"container-title":"Official Journal of the European Communities","id":"ITEM-1","issued":{"date-parts":[["2016"]]},"page":"1-88","title":"Regulation (EU) 2016/679 of the European Parliament and of the Council of 27 April 2016 on the protection of natural persons with regard to the processing of personal data and on the free movement of such data, and repealing Directive 95/46/ EC (GDPR)","type":"bill"},"suffix":"Article 51","uris":["http://www.mendeley.com/documents/?uuid=c656d8c0-640a-37a3-9187-41106513fda5"]}],"mendeley":{"formattedCitation":"European Union Regulation (EU) 2016/679 of the European Parliament and of the Council of 27 April 2016 on the protection of natural persons with regard to the processing of personal data and on the free movement of such data, and repealing Directive 95/46/ EC (GDPR) (n 36) Article 51.","plainTextFormattedCitation":"European Union Regulation (EU) 2016/679 of the European Parliament and of the Council of 27 April 2016 on the protection of natural persons with regard to the processing of personal data and on the free movement of such data, and repealing Directive 95/46/ EC (GDPR) (n 36) Article 51.","previouslyFormattedCitation":"European Union Regulation (EU) 2016/679 of the European Parliament and of the Council of 27 April 2016 on the protection of natural persons with regard to the processing of personal data and on the free movement of such data, and repealing Directive 95/46/ EC (GDPR) (n 36) Article 51."},"properties":{"noteIndex":253},"schema":"https://github.com/citation-style-language/schema/raw/master/csl-citation.json"}</w:instrText>
      </w:r>
      <w:r w:rsidRPr="00C87D1F">
        <w:rPr>
          <w:rFonts w:asciiTheme="majorHAnsi" w:hAnsiTheme="majorHAnsi" w:cstheme="majorHAnsi"/>
          <w:sz w:val="18"/>
          <w:szCs w:val="18"/>
        </w:rPr>
        <w:fldChar w:fldCharType="separate"/>
      </w:r>
      <w:r w:rsidRPr="00C87D1F">
        <w:rPr>
          <w:rFonts w:asciiTheme="majorHAnsi" w:hAnsiTheme="majorHAnsi" w:cstheme="majorHAnsi"/>
          <w:noProof/>
          <w:sz w:val="18"/>
          <w:szCs w:val="18"/>
        </w:rPr>
        <w:t>European Union Regulation (EU) 2016/679 of the European Parliament and of the Council of 27 April 2016 on the protection of natural persons with regard to the processing of personal data and on the free movement of such data, and repealing Directive 95/46/ EC (GDPR), Article 51.</w:t>
      </w:r>
      <w:r w:rsidRPr="00C87D1F">
        <w:rPr>
          <w:rFonts w:asciiTheme="majorHAnsi" w:hAnsiTheme="majorHAnsi" w:cstheme="majorHAnsi"/>
          <w:sz w:val="18"/>
          <w:szCs w:val="18"/>
        </w:rPr>
        <w:fldChar w:fldCharType="end"/>
      </w:r>
    </w:p>
  </w:footnote>
  <w:footnote w:id="8">
    <w:p w14:paraId="6D873890" w14:textId="4BB31D62" w:rsidR="008E4791" w:rsidRPr="00C87D1F" w:rsidRDefault="008E4791" w:rsidP="00F70934">
      <w:pPr>
        <w:spacing w:after="0"/>
        <w:rPr>
          <w:rFonts w:asciiTheme="majorHAnsi" w:hAnsiTheme="majorHAnsi" w:cstheme="majorHAnsi"/>
          <w:noProof/>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noProof/>
          <w:sz w:val="18"/>
          <w:szCs w:val="18"/>
        </w:rPr>
        <w:t xml:space="preserve"> Cross reference to Bennett, Colin and Charles Raab, The Governance of Privacy: Policy Instruments in Global Perspective, MIT Press, Cambridge MA &amp; London, 2003, p.109–114. in </w:t>
      </w:r>
      <w:r w:rsidRPr="00C87D1F">
        <w:rPr>
          <w:rFonts w:asciiTheme="majorHAnsi" w:hAnsiTheme="majorHAnsi" w:cstheme="majorHAnsi"/>
          <w:noProof/>
          <w:sz w:val="18"/>
          <w:szCs w:val="18"/>
        </w:rPr>
        <w:fldChar w:fldCharType="begin" w:fldLock="1"/>
      </w:r>
      <w:r w:rsidRPr="00C87D1F">
        <w:rPr>
          <w:rFonts w:asciiTheme="majorHAnsi" w:hAnsiTheme="majorHAnsi" w:cstheme="majorHAnsi"/>
          <w:noProof/>
          <w:sz w:val="18"/>
          <w:szCs w:val="18"/>
        </w:rPr>
        <w:instrText>ADDIN CSL_CITATION {"citationItems":[{"id":"ITEM-1","itemData":{"DOI":"10.1016/j.clsr.2016.05.006","ISSN":"02673649","author":[{"dropping-particle":"","family":"Barnard-Wills","given":"David","non-dropping-particle":"","parse-names":false,"suffix":""},{"dropping-particle":"","family":"Pauner Chulvi","given":"Cristina","non-dropping-particle":"","parse-names":false,"suffix":""},{"dropping-particle":"","family":"Hert","given":"Paul","non-dropping-particle":"De","parse-names":false,"suffix":""}],"container-title":"Computer Law &amp; Security Review","id":"ITEM-1","issue":"4","issued":{"date-parts":[["2016","8"]]},"page":"587-598","title":"Data protection authority perspectives on the impact of data protection reform on cooperation in the EU","type":"article-journal","volume":"32"},"locator":"587","uris":["http://www.mendeley.com/documents/?uuid=748e1b82-4da4-3395-b35b-bc044cb11926"]}],"mendeley":{"formattedCitation":"David Barnard-Wills, Cristina Pauner Chulvi and Paul De Hert, ‘Data Protection Authority Perspectives on the Impact of Data Protection Reform on Cooperation in the EU’ (2016) 32 Computer Law &amp; Security Review 587, 587 &lt;https://linkinghub.elsevier.com/retrieve/pii/S026736491630084X&gt; accessed 3 August 2019.","plainTextFormattedCitation":"David Barnard-Wills, Cristina Pauner Chulvi and Paul De Hert, ‘Data Protection Authority Perspectives on the Impact of Data Protection Reform on Cooperation in the EU’ (2016) 32 Computer Law &amp; Security Review 587, 587  accessed 3 August 2019.","previouslyFormattedCitation":"David Barnard-Wills, Cristina Pauner Chulvi and Paul De Hert, ‘Data Protection Authority Perspectives on the Impact of Data Protection Reform on Cooperation in the EU’ (2016) 32 Computer Law &amp; Security Review 587, 587 &lt;https://linkinghub.elsevier.com/retrieve/pii/S026736491630084X&gt; accessed 3 August 2019."},"properties":{"noteIndex":254},"schema":"https://github.com/citation-style-language/schema/raw/master/csl-citation.json"}</w:instrText>
      </w:r>
      <w:r w:rsidRPr="00C87D1F">
        <w:rPr>
          <w:rFonts w:asciiTheme="majorHAnsi" w:hAnsiTheme="majorHAnsi" w:cstheme="majorHAnsi"/>
          <w:noProof/>
          <w:sz w:val="18"/>
          <w:szCs w:val="18"/>
        </w:rPr>
        <w:fldChar w:fldCharType="separate"/>
      </w:r>
      <w:r w:rsidRPr="00C87D1F">
        <w:rPr>
          <w:rFonts w:asciiTheme="majorHAnsi" w:hAnsiTheme="majorHAnsi" w:cstheme="majorHAnsi"/>
          <w:noProof/>
          <w:sz w:val="18"/>
          <w:szCs w:val="18"/>
        </w:rPr>
        <w:t>David Barnard-Wills, Cristina Pauner Chulvi and Paul De Hert, ‘Data Protection Authority Perspectives on the Impact of Data Protection Reform on Cooperation in the EU’ (2016) 32 Computer Law &amp; Security Review 587, 587 &lt;https://linkinghub.elsevier.com/retrieve/pii/S026736491630084X&gt; accessed 3 August 2019.</w:t>
      </w:r>
      <w:r w:rsidRPr="00C87D1F">
        <w:rPr>
          <w:rFonts w:asciiTheme="majorHAnsi" w:hAnsiTheme="majorHAnsi" w:cstheme="majorHAnsi"/>
          <w:noProof/>
          <w:sz w:val="18"/>
          <w:szCs w:val="18"/>
        </w:rPr>
        <w:fldChar w:fldCharType="end"/>
      </w:r>
    </w:p>
  </w:footnote>
  <w:footnote w:id="9">
    <w:p w14:paraId="171BCE91" w14:textId="58687744" w:rsidR="008E4791" w:rsidRPr="00C87D1F" w:rsidRDefault="008E4791"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This observation is shared by Raab, Charles D. and Szekely, Ivan, Data Protection Authorities and Information Technology (May 5, 2017). Computer Law and Security Review 33 (2017) p. 421–433.</w:t>
      </w:r>
    </w:p>
  </w:footnote>
  <w:footnote w:id="10">
    <w:p w14:paraId="34EED467" w14:textId="00AF93C0" w:rsidR="008E4791" w:rsidRPr="00C87D1F" w:rsidRDefault="008E4791"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In the EU, SMEs constitute 99% of all business in the EU, and provide 2/3 of all private sector employment. It is an EU policy priority to promote new business, particular in areas of technology, which often have particularly salient data protection issues.</w:t>
      </w:r>
    </w:p>
  </w:footnote>
  <w:footnote w:id="11">
    <w:p w14:paraId="7F070CEA" w14:textId="56556E51" w:rsidR="008E4791" w:rsidRPr="00C87D1F" w:rsidRDefault="008E4791"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For more information on the Belgian DPA decision see here: </w:t>
      </w:r>
      <w:hyperlink r:id="rId4" w:history="1">
        <w:r w:rsidRPr="00C87D1F">
          <w:rPr>
            <w:rStyle w:val="Hyperlink"/>
            <w:rFonts w:asciiTheme="majorHAnsi" w:hAnsiTheme="majorHAnsi" w:cstheme="majorHAnsi"/>
            <w:sz w:val="18"/>
            <w:szCs w:val="18"/>
          </w:rPr>
          <w:t>https://www.insideprivacy.com/data-privacy/belgian-supervisory-authority-imposes-website-cookie-fine/</w:t>
        </w:r>
      </w:hyperlink>
      <w:r w:rsidRPr="00C87D1F">
        <w:rPr>
          <w:rFonts w:asciiTheme="majorHAnsi" w:hAnsiTheme="majorHAnsi" w:cstheme="majorHAnsi"/>
          <w:sz w:val="18"/>
          <w:szCs w:val="18"/>
        </w:rPr>
        <w:t xml:space="preserve">, for more information on the CNIL decision see here: </w:t>
      </w:r>
      <w:hyperlink r:id="rId5" w:history="1">
        <w:r w:rsidRPr="00C87D1F">
          <w:rPr>
            <w:rStyle w:val="Hyperlink"/>
            <w:rFonts w:asciiTheme="majorHAnsi" w:hAnsiTheme="majorHAnsi" w:cstheme="majorHAnsi"/>
            <w:sz w:val="18"/>
            <w:szCs w:val="18"/>
          </w:rPr>
          <w:t>https://privacylawblog.fieldfisher.com/2019/videosurveillance-cnil-issues-fine-of-20-000-euros-against-a-small-company-in-france</w:t>
        </w:r>
      </w:hyperlink>
      <w:r w:rsidRPr="00C87D1F">
        <w:rPr>
          <w:rFonts w:asciiTheme="majorHAnsi" w:hAnsiTheme="majorHAnsi" w:cstheme="majorHAnsi"/>
          <w:sz w:val="18"/>
          <w:szCs w:val="18"/>
        </w:rPr>
        <w:t>.</w:t>
      </w:r>
    </w:p>
  </w:footnote>
  <w:footnote w:id="12">
    <w:p w14:paraId="71636590" w14:textId="33357C24" w:rsidR="008E4791" w:rsidRPr="00C87D1F" w:rsidRDefault="008E4791"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Raab, Charles D. and Szekely, Ivan, Data Protection Authorities and Information Technology (May 5, 2017). Computer Law and Security Review 33 (2017) p. 421–433.</w:t>
      </w:r>
    </w:p>
  </w:footnote>
  <w:footnote w:id="13">
    <w:p w14:paraId="7252F2E5" w14:textId="6950CBAC" w:rsidR="008E4791" w:rsidRPr="00C87D1F" w:rsidRDefault="008E4791"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Cochrane, L., Barnard-Wills, D., Marchetti, F., Matturi, K. &amp; Panagiotopolous., A. , Deliverable D2.1 Report on DPA efforts to raise awareness among SMEs on the GDPR (Version 1.1; 2019); STARII, Deliverable D2.2 Report on the SME experience of the GDPR (2019). </w:t>
      </w:r>
    </w:p>
  </w:footnote>
  <w:footnote w:id="14">
    <w:p w14:paraId="0B8F042C" w14:textId="5EC536C8" w:rsidR="008E4791" w:rsidRPr="00C87D1F" w:rsidRDefault="008E4791"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Within the scope of this article we use a term ‘enforcement’ in a broad sense. It includes different styles of enforcement (i.e. deterrence and compliance driven). This approach also illustrates a progressive nature of regulation and good governance, where rules are accompanied by sanctions.  </w:t>
      </w:r>
    </w:p>
  </w:footnote>
  <w:footnote w:id="15">
    <w:p w14:paraId="51E586A8" w14:textId="2BD11C95" w:rsidR="008E4791" w:rsidRPr="00C87D1F" w:rsidRDefault="008E4791"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Robert Baldwin and Martin Cave, </w:t>
      </w:r>
      <w:r w:rsidRPr="00C87D1F">
        <w:rPr>
          <w:rFonts w:asciiTheme="majorHAnsi" w:hAnsiTheme="majorHAnsi" w:cstheme="majorHAnsi"/>
          <w:i/>
          <w:iCs/>
          <w:sz w:val="18"/>
          <w:szCs w:val="18"/>
        </w:rPr>
        <w:t>Understanding Regulation: Theory, Strategy, and Practice</w:t>
      </w:r>
      <w:r w:rsidRPr="00C87D1F">
        <w:rPr>
          <w:rFonts w:asciiTheme="majorHAnsi" w:hAnsiTheme="majorHAnsi" w:cstheme="majorHAnsi"/>
          <w:sz w:val="18"/>
          <w:szCs w:val="18"/>
        </w:rPr>
        <w:t xml:space="preserve"> (OUP 1999), p. 101.</w:t>
      </w:r>
    </w:p>
  </w:footnote>
  <w:footnote w:id="16">
    <w:p w14:paraId="30329221" w14:textId="58E5A9B1" w:rsidR="008E4791" w:rsidRPr="00C87D1F" w:rsidRDefault="008E4791"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Article 29 Working Party and the Working Party on Police and Justice joint contribution to the Consultation of the European Commission on the legal framework for the fundamental right to protection of personal data, The Future of Privacy (2009 WP 168), p. 22-23.</w:t>
      </w:r>
    </w:p>
  </w:footnote>
  <w:footnote w:id="17">
    <w:p w14:paraId="0123835D" w14:textId="34955B7C" w:rsidR="008E4791" w:rsidRPr="00C87D1F" w:rsidRDefault="008E4791"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Ibid. </w:t>
      </w:r>
    </w:p>
  </w:footnote>
  <w:footnote w:id="18">
    <w:p w14:paraId="75FC16E5" w14:textId="77777777" w:rsidR="008E4791" w:rsidRPr="00C87D1F" w:rsidRDefault="008E4791"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w:t>
      </w:r>
      <w:r w:rsidRPr="00C87D1F">
        <w:rPr>
          <w:rFonts w:asciiTheme="majorHAnsi" w:hAnsiTheme="majorHAnsi" w:cstheme="majorHAnsi"/>
          <w:sz w:val="18"/>
          <w:szCs w:val="18"/>
        </w:rPr>
        <w:fldChar w:fldCharType="begin" w:fldLock="1"/>
      </w:r>
      <w:r w:rsidRPr="00C87D1F">
        <w:rPr>
          <w:rFonts w:asciiTheme="majorHAnsi" w:hAnsiTheme="majorHAnsi" w:cstheme="majorHAnsi"/>
          <w:sz w:val="18"/>
          <w:szCs w:val="18"/>
        </w:rPr>
        <w:instrText>ADDIN CSL_CITATION {"citationItems":[{"id":"ITEM-1","itemData":{"DOI":"10.2811/58814","ISBN":"9789287198495","author":[{"dropping-particle":"","family":"European Union Agency for Fundamental Rights and Council of Europe","given":"","non-dropping-particle":"","parse-names":false,"suffix":""}],"id":"ITEM-1","issued":{"date-parts":[["2018"]]},"title":"Handbook on European data protection law","type":"book"},"locator":"193-194","uris":["http://www.mendeley.com/documents/?uuid=2d5dac78-45d1-328b-bba6-8dc2ed878ada"]}],"mendeley":{"formattedCitation":"European Union Agency for Fundamental Rights and Council of Europe, &lt;i&gt;Handbook on European Data Protection Law&lt;/i&gt; (2018) 193–194 &lt;https://fra.europa.eu/sites/default/files/fra_uploads/fra-coe-edps-2018-handbook-data-protection_en.pdf&gt;.","plainTextFormattedCitation":"European Union Agency for Fundamental Rights and Council of Europe, Handbook on European Data Protection Law (2018) 193–194 .","previouslyFormattedCitation":"European Union Agency for Fundamental Rights and Council of Europe, &lt;i&gt;Handbook on European Data Protection Law&lt;/i&gt; (2018) 193–194 &lt;https://fra.europa.eu/sites/default/files/fra_uploads/fra-coe-edps-2018-handbook-data-protection_en.pdf&gt;."},"properties":{"noteIndex":256},"schema":"https://github.com/citation-style-language/schema/raw/master/csl-citation.json"}</w:instrText>
      </w:r>
      <w:r w:rsidRPr="00C87D1F">
        <w:rPr>
          <w:rFonts w:asciiTheme="majorHAnsi" w:hAnsiTheme="majorHAnsi" w:cstheme="majorHAnsi"/>
          <w:sz w:val="18"/>
          <w:szCs w:val="18"/>
        </w:rPr>
        <w:fldChar w:fldCharType="separate"/>
      </w:r>
      <w:r w:rsidRPr="00C87D1F">
        <w:rPr>
          <w:rFonts w:asciiTheme="majorHAnsi" w:hAnsiTheme="majorHAnsi" w:cstheme="majorHAnsi"/>
          <w:noProof/>
          <w:sz w:val="18"/>
          <w:szCs w:val="18"/>
        </w:rPr>
        <w:t xml:space="preserve">European Union Agency for Fundamental Rights and Council of Europe, </w:t>
      </w:r>
      <w:r w:rsidRPr="00C87D1F">
        <w:rPr>
          <w:rFonts w:asciiTheme="majorHAnsi" w:hAnsiTheme="majorHAnsi" w:cstheme="majorHAnsi"/>
          <w:i/>
          <w:noProof/>
          <w:sz w:val="18"/>
          <w:szCs w:val="18"/>
        </w:rPr>
        <w:t>Handbook on European Data Protection Law</w:t>
      </w:r>
      <w:r w:rsidRPr="00C87D1F">
        <w:rPr>
          <w:rFonts w:asciiTheme="majorHAnsi" w:hAnsiTheme="majorHAnsi" w:cstheme="majorHAnsi"/>
          <w:noProof/>
          <w:sz w:val="18"/>
          <w:szCs w:val="18"/>
        </w:rPr>
        <w:t xml:space="preserve"> (2018) 193–194 &lt;https://fra.europa.eu/sites/default/files/fra_uploads/fra-coe-edps-2018-handbook-data-protection_en.pdf&gt;.</w:t>
      </w:r>
      <w:r w:rsidRPr="00C87D1F">
        <w:rPr>
          <w:rFonts w:asciiTheme="majorHAnsi" w:hAnsiTheme="majorHAnsi" w:cstheme="majorHAnsi"/>
          <w:sz w:val="18"/>
          <w:szCs w:val="18"/>
        </w:rPr>
        <w:fldChar w:fldCharType="end"/>
      </w:r>
    </w:p>
  </w:footnote>
  <w:footnote w:id="19">
    <w:p w14:paraId="126CBE9F" w14:textId="30AEF1D4" w:rsidR="008E4791" w:rsidRPr="00C87D1F" w:rsidRDefault="008E4791"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It should be noted that many DPAs were already deeply engaged in awareness raising practices, and therefore for them adding this obligation to the DPA responsibility list was a reasonable step to make. </w:t>
      </w:r>
      <w:bookmarkStart w:id="0" w:name="_Hlk36716269"/>
      <w:r w:rsidRPr="00C87D1F">
        <w:rPr>
          <w:rFonts w:asciiTheme="majorHAnsi" w:hAnsiTheme="majorHAnsi" w:cstheme="majorHAnsi"/>
          <w:sz w:val="18"/>
          <w:szCs w:val="18"/>
        </w:rPr>
        <w:t>The EU legislator includes three co-legislating institutions: the European Commission, the Council of the European Union and the European Parliament.</w:t>
      </w:r>
      <w:bookmarkEnd w:id="0"/>
    </w:p>
  </w:footnote>
  <w:footnote w:id="20">
    <w:p w14:paraId="2B28AB2D" w14:textId="047C3385" w:rsidR="008E4791" w:rsidRPr="00C87D1F" w:rsidRDefault="008E4791"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Neil Gunningham, ‘Enforcement and Compliance Strategies’ in Oxford Handbook of Regulation, edited by Robert Baldwin, Martin Cave, and Martin Lodge (OUP 2010), p. 122.</w:t>
      </w:r>
    </w:p>
  </w:footnote>
  <w:footnote w:id="21">
    <w:p w14:paraId="5862619B" w14:textId="33C48073" w:rsidR="008E4791" w:rsidRPr="00C87D1F" w:rsidRDefault="008E4791"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For more on enforcement strategies see: Robert Baldwin and Martin Cave, </w:t>
      </w:r>
      <w:r w:rsidRPr="00C87D1F">
        <w:rPr>
          <w:rFonts w:asciiTheme="majorHAnsi" w:hAnsiTheme="majorHAnsi" w:cstheme="majorHAnsi"/>
          <w:i/>
          <w:iCs/>
          <w:sz w:val="18"/>
          <w:szCs w:val="18"/>
        </w:rPr>
        <w:t>Understanding Regulation: Theory, Strategy, and Practice</w:t>
      </w:r>
      <w:r w:rsidRPr="00C87D1F">
        <w:rPr>
          <w:rFonts w:asciiTheme="majorHAnsi" w:hAnsiTheme="majorHAnsi" w:cstheme="majorHAnsi"/>
          <w:sz w:val="18"/>
          <w:szCs w:val="18"/>
        </w:rPr>
        <w:t xml:space="preserve"> (OUP 1999), p. 96-117 and Neil Gunningham, ‘Enforcement and Compliance Strategies’, p. 120-145. </w:t>
      </w:r>
    </w:p>
  </w:footnote>
  <w:footnote w:id="22">
    <w:p w14:paraId="7EC1DF95" w14:textId="253AD9CC" w:rsidR="008E4791" w:rsidRPr="00C87D1F" w:rsidRDefault="008E4791"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Article 29 Working Party and the Working Party on Police and Justice joint contribution to the Consultation of the European Commission on the legal framework for the fundamental right to protection of personal data, The Future of Privacy (2009 WP 168), p. 4. </w:t>
      </w:r>
    </w:p>
  </w:footnote>
  <w:footnote w:id="23">
    <w:p w14:paraId="57ACC435" w14:textId="6D8ACD23" w:rsidR="008E4791" w:rsidRPr="00C87D1F" w:rsidRDefault="008E4791"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Regulation (EU) 2016/679 of the European Parliament and of the Council of 27 April 2016 on the protection of natural persons with regard to the processing of personal data and on the free movement of such data, and repealing Directive 95/46/ EC (GDPR) 2016, Article 57.1 (b)</w:t>
      </w:r>
      <w:r w:rsidR="006B4330">
        <w:rPr>
          <w:rFonts w:asciiTheme="majorHAnsi" w:hAnsiTheme="majorHAnsi" w:cstheme="majorHAnsi"/>
          <w:sz w:val="18"/>
          <w:szCs w:val="18"/>
        </w:rPr>
        <w:t>.</w:t>
      </w:r>
    </w:p>
  </w:footnote>
  <w:footnote w:id="24">
    <w:p w14:paraId="1C224E32" w14:textId="0D4C169A" w:rsidR="008E4791" w:rsidRPr="00C87D1F" w:rsidRDefault="008E4791"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Ibid, Article 57.1 (d)</w:t>
      </w:r>
      <w:r w:rsidR="00C87D1F">
        <w:rPr>
          <w:rFonts w:asciiTheme="majorHAnsi" w:hAnsiTheme="majorHAnsi" w:cstheme="majorHAnsi"/>
          <w:sz w:val="18"/>
          <w:szCs w:val="18"/>
        </w:rPr>
        <w:t>.</w:t>
      </w:r>
    </w:p>
  </w:footnote>
  <w:footnote w:id="25">
    <w:p w14:paraId="02A1FF22" w14:textId="2AE7953B" w:rsidR="008E4791" w:rsidRPr="00C87D1F" w:rsidRDefault="008E4791"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Note, </w:t>
      </w:r>
      <w:r w:rsidRPr="00C87D1F">
        <w:rPr>
          <w:rFonts w:asciiTheme="majorHAnsi" w:hAnsiTheme="majorHAnsi" w:cstheme="majorHAnsi"/>
          <w:sz w:val="18"/>
          <w:szCs w:val="18"/>
          <w:shd w:val="clear" w:color="auto" w:fill="FFFFFF"/>
        </w:rPr>
        <w:t>recitals are not legally binding, yet they are used to interpret the binding provisions.</w:t>
      </w:r>
    </w:p>
  </w:footnote>
  <w:footnote w:id="26">
    <w:p w14:paraId="60DAD76A" w14:textId="61E49F62" w:rsidR="008E4791" w:rsidRPr="00C87D1F" w:rsidRDefault="008E4791"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For example, Annual Report on European SMEs 2018/2019: Research &amp; Development and Innovation also Infographic: Presents the latest data on European SMEs based on the annual report (2019). Additionally, see: Annual Report on European SMEs 2014/2015: SMEs start hiring again; Annual Report on European SMEs 2013/2014: Partial and Fragile Recovery.</w:t>
      </w:r>
    </w:p>
  </w:footnote>
  <w:footnote w:id="27">
    <w:p w14:paraId="5967C724" w14:textId="1E6CEA6B" w:rsidR="008E4791" w:rsidRPr="00C87D1F" w:rsidRDefault="008E4791"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Barnard-Wills, D., Cochrane, L., Matturi, K., Marchetti, F., &amp; Panagiotopoulos, A., Report on the SME experience of the GDPR, Deliverable D2.2, STAR II project, 2019. </w:t>
      </w:r>
    </w:p>
  </w:footnote>
  <w:footnote w:id="28">
    <w:p w14:paraId="61A3040A" w14:textId="00EC9D2C" w:rsidR="008E4791" w:rsidRPr="00C87D1F" w:rsidRDefault="008E4791"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SDG Accountability Handbook, Raising Awareness through Public Outreach Campaigns What is it? (2018)</w:t>
      </w:r>
      <w:r w:rsidR="006B4330">
        <w:rPr>
          <w:rFonts w:asciiTheme="majorHAnsi" w:hAnsiTheme="majorHAnsi" w:cstheme="majorHAnsi"/>
          <w:sz w:val="18"/>
          <w:szCs w:val="18"/>
        </w:rPr>
        <w:t>.</w:t>
      </w:r>
    </w:p>
  </w:footnote>
  <w:footnote w:id="29">
    <w:p w14:paraId="0EB7583B" w14:textId="095B6C47" w:rsidR="008E4791" w:rsidRPr="00C87D1F" w:rsidRDefault="008E4791"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STARII D2.1, p. 44. </w:t>
      </w:r>
    </w:p>
  </w:footnote>
  <w:footnote w:id="30">
    <w:p w14:paraId="211B52CF" w14:textId="20DF4090" w:rsidR="008E4791" w:rsidRPr="00C87D1F" w:rsidRDefault="008E4791"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The role of a leader in this context concerns education, awareness, feedback, guidance and assistance to concerned parties and should not be confused with the notion of a lead authority. </w:t>
      </w:r>
    </w:p>
  </w:footnote>
  <w:footnote w:id="31">
    <w:p w14:paraId="2A464378" w14:textId="44B636E5" w:rsidR="008E4791" w:rsidRPr="00C87D1F" w:rsidRDefault="008E4791"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w:t>
      </w:r>
      <w:r w:rsidRPr="00C87D1F">
        <w:rPr>
          <w:rFonts w:asciiTheme="majorHAnsi" w:hAnsiTheme="majorHAnsi" w:cstheme="majorHAnsi"/>
          <w:sz w:val="18"/>
          <w:szCs w:val="18"/>
        </w:rPr>
        <w:fldChar w:fldCharType="begin" w:fldLock="1"/>
      </w:r>
      <w:r w:rsidRPr="00C87D1F">
        <w:rPr>
          <w:rFonts w:asciiTheme="majorHAnsi" w:hAnsiTheme="majorHAnsi" w:cstheme="majorHAnsi"/>
          <w:sz w:val="18"/>
          <w:szCs w:val="18"/>
        </w:rPr>
        <w:instrText>ADDIN CSL_CITATION {"citationItems":[{"id":"ITEM-1","itemData":{"author":[{"dropping-particle":"","family":"Centre for Information Policy Leadership","given":"","non-dropping-particle":"","parse-names":false,"suffix":""}],"id":"ITEM-1","issued":{"date-parts":[["2017"]]},"title":"Regulating for Results Strategies and Priorities for Leadership and Engagement: A Discussion Paper (25 September)","type":"report"},"locator":"29","uris":["http://www.mendeley.com/documents/?uuid=4f5a33dd-0595-4d4b-a63f-d97ae2596e17"]}],"mendeley":{"formattedCitation":"Centre for Information Policy Leadership, ‘Regulating for Results Strategies and Priorities for Leadership and Engagement: A Discussion Paper (25 September)’ (2017) 29 &lt;https://www.informationpolicycentre.com/uploads/5/7/1/0/57104281/cipl_final_draft_regulating_for_results_-_strategies_and_priorities_for_leadership_and_engagement.pdf&gt;.","plainTextFormattedCitation":"Centre for Information Policy Leadership, ‘Regulating for Results Strategies and Priorities for Leadership and Engagement: A Discussion Paper (25 September)’ (2017) 29 .","previouslyFormattedCitation":"Centre for Information Policy Leadership, ‘Regulating for Results Strategies and Priorities for Leadership and Engagement: A Discussion Paper (25 September)’ (2017) 29 &lt;https://www.informationpolicycentre.com/uploads/5/7/1/0/57104281/cipl_final_draft_regulating_for_results_-_strategies_and_priorities_for_leadership_and_engagement.pdf&gt;."},"properties":{"noteIndex":1},"schema":"https://github.com/citation-style-language/schema/raw/master/csl-citation.json"}</w:instrText>
      </w:r>
      <w:r w:rsidRPr="00C87D1F">
        <w:rPr>
          <w:rFonts w:asciiTheme="majorHAnsi" w:hAnsiTheme="majorHAnsi" w:cstheme="majorHAnsi"/>
          <w:sz w:val="18"/>
          <w:szCs w:val="18"/>
        </w:rPr>
        <w:fldChar w:fldCharType="separate"/>
      </w:r>
      <w:r w:rsidRPr="00C87D1F">
        <w:rPr>
          <w:rFonts w:asciiTheme="majorHAnsi" w:hAnsiTheme="majorHAnsi" w:cstheme="majorHAnsi"/>
          <w:noProof/>
          <w:sz w:val="18"/>
          <w:szCs w:val="18"/>
        </w:rPr>
        <w:t>Centre for Information Policy Leadership, ‘Regulating for Results Strategies and Priorities for Leadership and Engagement: A Discussion Paper’ (2017) p. 29 &lt;https://www.informationpolicycentre.com/uploads/5/7/1/0/57104281/cipl_final_draft_regulating_for_results_-_strategies_and_priorities_for_leadership_and_engagement.pdf&gt;.</w:t>
      </w:r>
      <w:r w:rsidRPr="00C87D1F">
        <w:rPr>
          <w:rFonts w:asciiTheme="majorHAnsi" w:hAnsiTheme="majorHAnsi" w:cstheme="majorHAnsi"/>
          <w:sz w:val="18"/>
          <w:szCs w:val="18"/>
        </w:rPr>
        <w:fldChar w:fldCharType="end"/>
      </w:r>
    </w:p>
  </w:footnote>
  <w:footnote w:id="32">
    <w:p w14:paraId="3B107D54" w14:textId="78A97187" w:rsidR="008E4791" w:rsidRPr="00C87D1F" w:rsidRDefault="008E4791"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w:t>
      </w:r>
      <w:r w:rsidRPr="00C87D1F">
        <w:rPr>
          <w:rFonts w:asciiTheme="majorHAnsi" w:hAnsiTheme="majorHAnsi" w:cstheme="majorHAnsi"/>
          <w:sz w:val="18"/>
          <w:szCs w:val="18"/>
        </w:rPr>
        <w:fldChar w:fldCharType="begin" w:fldLock="1"/>
      </w:r>
      <w:r w:rsidRPr="00C87D1F">
        <w:rPr>
          <w:rFonts w:asciiTheme="majorHAnsi" w:hAnsiTheme="majorHAnsi" w:cstheme="majorHAnsi"/>
          <w:sz w:val="18"/>
          <w:szCs w:val="18"/>
        </w:rPr>
        <w:instrText>ADDIN CSL_CITATION {"citationItems":[{"id":"ITEM-1","itemData":{"author":[{"dropping-particle":"","family":"Hodges","given":"Christopher","non-dropping-particle":"","parse-names":false,"suffix":""}],"container-title":"European Data Protection Law Review","id":"ITEM-1","issue":"1","issued":{"date-parts":[["2018"]]},"page":"65-79","title":"Delivering data protection: Trust and ethical culture","type":"article-journal","volume":"4"},"uris":["http://www.mendeley.com/documents/?uuid=504cea7d-3a39-4769-bae6-4a19140850df"]}],"mendeley":{"formattedCitation":"Christopher Hodges, ‘Delivering Data Protection: Trust and Ethical Culture’ (2018) 4 European Data Protection Law Review 65.","plainTextFormattedCitation":"Christopher Hodges, ‘Delivering Data Protection: Trust and Ethical Culture’ (2018) 4 European Data Protection Law Review 65.","previouslyFormattedCitation":"Christopher Hodges, ‘Delivering Data Protection: Trust and Ethical Culture’ (2018) 4 European Data Protection Law Review 65."},"properties":{"noteIndex":3},"schema":"https://github.com/citation-style-language/schema/raw/master/csl-citation.json"}</w:instrText>
      </w:r>
      <w:r w:rsidRPr="00C87D1F">
        <w:rPr>
          <w:rFonts w:asciiTheme="majorHAnsi" w:hAnsiTheme="majorHAnsi" w:cstheme="majorHAnsi"/>
          <w:sz w:val="18"/>
          <w:szCs w:val="18"/>
        </w:rPr>
        <w:fldChar w:fldCharType="separate"/>
      </w:r>
      <w:r w:rsidRPr="00C87D1F">
        <w:rPr>
          <w:rFonts w:asciiTheme="majorHAnsi" w:hAnsiTheme="majorHAnsi" w:cstheme="majorHAnsi"/>
          <w:noProof/>
          <w:sz w:val="18"/>
          <w:szCs w:val="18"/>
        </w:rPr>
        <w:t>Christopher Hodges, ‘Delivering Data Protection: Trust and Ethical Culture’ (2018) 4 European Data Protection Law Review 65.</w:t>
      </w:r>
      <w:r w:rsidRPr="00C87D1F">
        <w:rPr>
          <w:rFonts w:asciiTheme="majorHAnsi" w:hAnsiTheme="majorHAnsi" w:cstheme="majorHAnsi"/>
          <w:sz w:val="18"/>
          <w:szCs w:val="18"/>
        </w:rPr>
        <w:fldChar w:fldCharType="end"/>
      </w:r>
    </w:p>
  </w:footnote>
  <w:footnote w:id="33">
    <w:p w14:paraId="004476CD" w14:textId="1CC5B707" w:rsidR="008E4791" w:rsidRPr="00C87D1F" w:rsidRDefault="008E4791"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Ibid, 71. </w:t>
      </w:r>
    </w:p>
  </w:footnote>
  <w:footnote w:id="34">
    <w:p w14:paraId="0B884E52" w14:textId="77777777" w:rsidR="008E4791" w:rsidRPr="00C87D1F" w:rsidRDefault="008E4791"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w:t>
      </w:r>
      <w:r w:rsidRPr="00C87D1F">
        <w:rPr>
          <w:rFonts w:asciiTheme="majorHAnsi" w:hAnsiTheme="majorHAnsi" w:cstheme="majorHAnsi"/>
          <w:sz w:val="18"/>
          <w:szCs w:val="18"/>
        </w:rPr>
        <w:fldChar w:fldCharType="begin" w:fldLock="1"/>
      </w:r>
      <w:r w:rsidRPr="00C87D1F">
        <w:rPr>
          <w:rFonts w:asciiTheme="majorHAnsi" w:hAnsiTheme="majorHAnsi" w:cstheme="majorHAnsi"/>
          <w:sz w:val="18"/>
          <w:szCs w:val="18"/>
        </w:rPr>
        <w:instrText>ADDIN CSL_CITATION {"citationItems":[{"id":"ITEM-1","itemData":{"author":[{"dropping-particle":"","family":"Hijmans","given":"Hielke","non-dropping-particle":"","parse-names":false,"suffix":""}],"container-title":"European Data Protection Law Review","id":"ITEM-1","issued":{"date-parts":[["2018"]]},"page":"80","title":"How to Enforce the GDPR in a Strategic, Consistent and Ethical Manner?","type":"article-journal","volume":"4"},"locator":"82","uris":["http://www.mendeley.com/documents/?uuid=f17981d9-32b1-49da-a5a3-0a0563188507"]}],"mendeley":{"formattedCitation":"Hielke Hijmans, ‘How to Enforce the GDPR in a Strategic, Consistent and Ethical Manner?’ (2018) 4 European Data Protection Law Review 80, 82.","plainTextFormattedCitation":"Hielke Hijmans, ‘How to Enforce the GDPR in a Strategic, Consistent and Ethical Manner?’ (2018) 4 European Data Protection Law Review 80, 82.","previouslyFormattedCitation":"Hielke Hijmans, ‘How to Enforce the GDPR in a Strategic, Consistent and Ethical Manner?’ (2018) 4 European Data Protection Law Review 80, 82."},"properties":{"noteIndex":4},"schema":"https://github.com/citation-style-language/schema/raw/master/csl-citation.json"}</w:instrText>
      </w:r>
      <w:r w:rsidRPr="00C87D1F">
        <w:rPr>
          <w:rFonts w:asciiTheme="majorHAnsi" w:hAnsiTheme="majorHAnsi" w:cstheme="majorHAnsi"/>
          <w:sz w:val="18"/>
          <w:szCs w:val="18"/>
        </w:rPr>
        <w:fldChar w:fldCharType="separate"/>
      </w:r>
      <w:r w:rsidRPr="00C87D1F">
        <w:rPr>
          <w:rFonts w:asciiTheme="majorHAnsi" w:hAnsiTheme="majorHAnsi" w:cstheme="majorHAnsi"/>
          <w:noProof/>
          <w:sz w:val="18"/>
          <w:szCs w:val="18"/>
        </w:rPr>
        <w:t>Hielke Hijmans, ‘How to Enforce the GDPR in a Strategic, Consistent and Ethical Manner?’ (2018) 4 European Data Protection Law Review 80, 82.</w:t>
      </w:r>
      <w:r w:rsidRPr="00C87D1F">
        <w:rPr>
          <w:rFonts w:asciiTheme="majorHAnsi" w:hAnsiTheme="majorHAnsi" w:cstheme="majorHAnsi"/>
          <w:sz w:val="18"/>
          <w:szCs w:val="18"/>
        </w:rPr>
        <w:fldChar w:fldCharType="end"/>
      </w:r>
    </w:p>
  </w:footnote>
  <w:footnote w:id="35">
    <w:p w14:paraId="4CC72522" w14:textId="3499F7E1" w:rsidR="008E4791" w:rsidRPr="00C87D1F" w:rsidRDefault="008E4791"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D2.1, p. 43, </w:t>
      </w:r>
      <w:r w:rsidR="006B4330">
        <w:rPr>
          <w:rFonts w:asciiTheme="majorHAnsi" w:hAnsiTheme="majorHAnsi" w:cstheme="majorHAnsi"/>
          <w:sz w:val="18"/>
          <w:szCs w:val="18"/>
        </w:rPr>
        <w:t>the l</w:t>
      </w:r>
      <w:r w:rsidRPr="00C87D1F">
        <w:rPr>
          <w:rFonts w:asciiTheme="majorHAnsi" w:hAnsiTheme="majorHAnsi" w:cstheme="majorHAnsi"/>
          <w:sz w:val="18"/>
          <w:szCs w:val="18"/>
        </w:rPr>
        <w:t>ist</w:t>
      </w:r>
      <w:r w:rsidR="006B4330">
        <w:rPr>
          <w:rFonts w:asciiTheme="majorHAnsi" w:hAnsiTheme="majorHAnsi" w:cstheme="majorHAnsi"/>
          <w:sz w:val="18"/>
          <w:szCs w:val="18"/>
        </w:rPr>
        <w:t xml:space="preserve"> of</w:t>
      </w:r>
      <w:r w:rsidRPr="00C87D1F">
        <w:rPr>
          <w:rFonts w:asciiTheme="majorHAnsi" w:hAnsiTheme="majorHAnsi" w:cstheme="majorHAnsi"/>
          <w:sz w:val="18"/>
          <w:szCs w:val="18"/>
        </w:rPr>
        <w:t xml:space="preserve"> </w:t>
      </w:r>
      <w:r w:rsidR="006B4330">
        <w:rPr>
          <w:rFonts w:asciiTheme="majorHAnsi" w:hAnsiTheme="majorHAnsi" w:cstheme="majorHAnsi"/>
          <w:sz w:val="18"/>
          <w:szCs w:val="18"/>
        </w:rPr>
        <w:t>i</w:t>
      </w:r>
      <w:r w:rsidRPr="00C87D1F">
        <w:rPr>
          <w:rFonts w:asciiTheme="majorHAnsi" w:hAnsiTheme="majorHAnsi" w:cstheme="majorHAnsi"/>
          <w:sz w:val="18"/>
          <w:szCs w:val="18"/>
        </w:rPr>
        <w:t>nterviewed DPAs include</w:t>
      </w:r>
      <w:r w:rsidR="00C87D1F">
        <w:rPr>
          <w:rFonts w:asciiTheme="majorHAnsi" w:hAnsiTheme="majorHAnsi" w:cstheme="majorHAnsi"/>
          <w:sz w:val="18"/>
          <w:szCs w:val="18"/>
        </w:rPr>
        <w:t>:</w:t>
      </w:r>
      <w:r w:rsidR="006B4330">
        <w:rPr>
          <w:rFonts w:asciiTheme="majorHAnsi" w:hAnsiTheme="majorHAnsi" w:cstheme="majorHAnsi"/>
          <w:sz w:val="18"/>
          <w:szCs w:val="18"/>
        </w:rPr>
        <w:t xml:space="preserve"> </w:t>
      </w:r>
      <w:r w:rsidR="006B4330" w:rsidRPr="006B4330">
        <w:rPr>
          <w:rFonts w:asciiTheme="majorHAnsi" w:hAnsiTheme="majorHAnsi" w:cstheme="majorHAnsi"/>
          <w:sz w:val="18"/>
          <w:szCs w:val="18"/>
        </w:rPr>
        <w:t>Belgium, Bulgaria, Croatia, Czech Republic, Estonia, France, Greece, Hungary, Ireland, Italy, Latvia, Lithuania, Luxembourg, Malta, Poland, Romania, Slovakia, and Slovenia.</w:t>
      </w:r>
    </w:p>
  </w:footnote>
  <w:footnote w:id="36">
    <w:p w14:paraId="2A5C47D8" w14:textId="66AB6F6B" w:rsidR="008E4791" w:rsidRPr="00C87D1F" w:rsidRDefault="008E4791" w:rsidP="00F70934">
      <w:pPr>
        <w:pStyle w:val="FootnoteText"/>
        <w:rPr>
          <w:rFonts w:asciiTheme="majorHAnsi" w:hAnsiTheme="majorHAnsi" w:cstheme="majorHAnsi"/>
          <w:sz w:val="18"/>
          <w:szCs w:val="18"/>
          <w:lang w:val="fr-CH"/>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lang w:val="fr-CH"/>
        </w:rPr>
        <w:t xml:space="preserve"> GDPR, Article 70 (e).</w:t>
      </w:r>
    </w:p>
  </w:footnote>
  <w:footnote w:id="37">
    <w:p w14:paraId="7CC8E4E8" w14:textId="4BF0FDBC" w:rsidR="008E4791" w:rsidRPr="00C87D1F" w:rsidRDefault="008E4791" w:rsidP="00F70934">
      <w:pPr>
        <w:pStyle w:val="FootnoteText"/>
        <w:rPr>
          <w:rFonts w:asciiTheme="majorHAnsi" w:hAnsiTheme="majorHAnsi" w:cstheme="majorHAnsi"/>
          <w:sz w:val="18"/>
          <w:szCs w:val="18"/>
          <w:lang w:val="it-IT"/>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lang w:val="it-IT"/>
        </w:rPr>
        <w:t xml:space="preserve"> STARII, D.2.2, p. 25. The methedology of the survey is defined on pp. 11-13.</w:t>
      </w:r>
    </w:p>
  </w:footnote>
  <w:footnote w:id="38">
    <w:p w14:paraId="647C87C0" w14:textId="2C1F08FE" w:rsidR="008E4791" w:rsidRPr="00C87D1F" w:rsidRDefault="008E4791" w:rsidP="00F70934">
      <w:pPr>
        <w:pStyle w:val="FootnoteText"/>
        <w:rPr>
          <w:rFonts w:asciiTheme="majorHAnsi" w:hAnsiTheme="majorHAnsi" w:cstheme="majorHAnsi"/>
          <w:sz w:val="18"/>
          <w:szCs w:val="18"/>
          <w:lang w:val="it-IT"/>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lang w:val="it-IT"/>
        </w:rPr>
        <w:t xml:space="preserve"> STARII, D.2.2, p. 25.</w:t>
      </w:r>
    </w:p>
  </w:footnote>
  <w:footnote w:id="39">
    <w:p w14:paraId="381E75D5" w14:textId="6BD76654" w:rsidR="008E4791" w:rsidRPr="00C87D1F" w:rsidRDefault="008E4791" w:rsidP="00F70934">
      <w:pPr>
        <w:pStyle w:val="FootnoteText"/>
        <w:rPr>
          <w:rFonts w:asciiTheme="majorHAnsi" w:hAnsiTheme="majorHAnsi" w:cstheme="majorHAnsi"/>
          <w:sz w:val="18"/>
          <w:szCs w:val="18"/>
          <w:lang w:val="fr-CH"/>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w:t>
      </w:r>
      <w:r w:rsidRPr="00C87D1F">
        <w:rPr>
          <w:rFonts w:asciiTheme="majorHAnsi" w:hAnsiTheme="majorHAnsi" w:cstheme="majorHAnsi"/>
          <w:sz w:val="18"/>
          <w:szCs w:val="18"/>
          <w:lang w:val="en-US"/>
        </w:rPr>
        <w:t xml:space="preserve">The Belgian Data Protection Authority operates in a number of languages. </w:t>
      </w:r>
      <w:r w:rsidRPr="00C87D1F">
        <w:rPr>
          <w:rFonts w:asciiTheme="majorHAnsi" w:hAnsiTheme="majorHAnsi" w:cstheme="majorHAnsi"/>
          <w:i/>
          <w:iCs/>
          <w:sz w:val="18"/>
          <w:szCs w:val="18"/>
          <w:shd w:val="clear" w:color="auto" w:fill="FFFFFF"/>
        </w:rPr>
        <w:t>L'Autorité de protection des données</w:t>
      </w:r>
      <w:r w:rsidRPr="00C87D1F">
        <w:rPr>
          <w:rFonts w:asciiTheme="majorHAnsi" w:hAnsiTheme="majorHAnsi" w:cstheme="majorHAnsi"/>
          <w:sz w:val="18"/>
          <w:szCs w:val="18"/>
          <w:lang w:val="en-US"/>
        </w:rPr>
        <w:t xml:space="preserve"> (APD) is the French abbreviation simply translates as Data Protection Authority in English.  </w:t>
      </w:r>
      <w:r w:rsidRPr="00C87D1F">
        <w:rPr>
          <w:rFonts w:asciiTheme="majorHAnsi" w:hAnsiTheme="majorHAnsi" w:cstheme="majorHAnsi"/>
          <w:sz w:val="18"/>
          <w:szCs w:val="18"/>
          <w:lang w:val="en-US"/>
        </w:rPr>
        <w:fldChar w:fldCharType="begin" w:fldLock="1"/>
      </w:r>
      <w:r w:rsidRPr="00C87D1F">
        <w:rPr>
          <w:rFonts w:asciiTheme="majorHAnsi" w:hAnsiTheme="majorHAnsi" w:cstheme="majorHAnsi"/>
          <w:sz w:val="18"/>
          <w:szCs w:val="18"/>
          <w:lang w:val="en-US"/>
        </w:rPr>
        <w:instrText>ADDIN CSL_CITATION {"citationItems":[{"id":"ITEM-1","itemData":{"author":[{"dropping-particle":"","family":"CPVP","given":"","non-dropping-particle":"","parse-names":false,"suffix":""}],"id":"ITEM-1","issued":{"date-parts":[["2018"]]},"title":"RGPD vade-mecum pour les PME (January)","type":"report"},"uris":["http://www.mendeley.com/documents/?uuid=e133738f-4a84-4e4d-923f-bdf02436f4dc"]}],"mendeley":{"formattedCitation":"CPVP, ‘RGPD Vade-Mecum Pour Les PME (January)’ (2018) &lt;https://www.autoriteprotectiondonnees.be/sites/privacycommission/files/documents/PME_FR_0.pdf&gt;.","plainTextFormattedCitation":"CPVP, ‘RGPD Vade-Mecum Pour Les PME (January)’ (2018) .","previouslyFormattedCitation":"CPVP, ‘RGPD Vade-Mecum Pour Les PME (January)’ (2018) &lt;https://www.autoriteprotectiondonnees.be/sites/privacycommission/files/documents/PME_FR_0.pdf&gt;."},"properties":{"noteIndex":5},"schema":"https://github.com/citation-style-language/schema/raw/master/csl-citation.json"}</w:instrText>
      </w:r>
      <w:r w:rsidRPr="00C87D1F">
        <w:rPr>
          <w:rFonts w:asciiTheme="majorHAnsi" w:hAnsiTheme="majorHAnsi" w:cstheme="majorHAnsi"/>
          <w:sz w:val="18"/>
          <w:szCs w:val="18"/>
          <w:lang w:val="en-US"/>
        </w:rPr>
        <w:fldChar w:fldCharType="separate"/>
      </w:r>
      <w:r w:rsidRPr="00C87D1F">
        <w:rPr>
          <w:rFonts w:asciiTheme="majorHAnsi" w:hAnsiTheme="majorHAnsi" w:cstheme="majorHAnsi"/>
          <w:noProof/>
          <w:sz w:val="18"/>
          <w:szCs w:val="18"/>
          <w:lang w:val="fr-CH"/>
        </w:rPr>
        <w:t>CPVP, ‘RGPD Vade-Mecum Pour Les PME (January)’ (2018) &lt;https://www.autoriteprotectiondonnees.be/sites/privacycommission/files/documents/PME_FR_0.pdf&gt;.</w:t>
      </w:r>
      <w:r w:rsidRPr="00C87D1F">
        <w:rPr>
          <w:rFonts w:asciiTheme="majorHAnsi" w:hAnsiTheme="majorHAnsi" w:cstheme="majorHAnsi"/>
          <w:sz w:val="18"/>
          <w:szCs w:val="18"/>
          <w:lang w:val="en-US"/>
        </w:rPr>
        <w:fldChar w:fldCharType="end"/>
      </w:r>
    </w:p>
  </w:footnote>
  <w:footnote w:id="40">
    <w:p w14:paraId="039B33DD" w14:textId="0693F6B1" w:rsidR="008E4791" w:rsidRPr="00C87D1F" w:rsidRDefault="008E4791" w:rsidP="00F70934">
      <w:pPr>
        <w:pStyle w:val="FootnoteText"/>
        <w:rPr>
          <w:rFonts w:asciiTheme="majorHAnsi" w:hAnsiTheme="majorHAnsi" w:cstheme="majorHAnsi"/>
          <w:sz w:val="18"/>
          <w:szCs w:val="18"/>
          <w:lang w:val="fr-CH"/>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lang w:val="fr-CH"/>
        </w:rPr>
        <w:t xml:space="preserve"> </w:t>
      </w:r>
      <w:r w:rsidRPr="00C87D1F">
        <w:rPr>
          <w:rFonts w:asciiTheme="majorHAnsi" w:hAnsiTheme="majorHAnsi" w:cstheme="majorHAnsi"/>
          <w:i/>
          <w:sz w:val="18"/>
          <w:szCs w:val="18"/>
          <w:lang w:val="fr-CH"/>
        </w:rPr>
        <w:t>L</w:t>
      </w:r>
      <w:r w:rsidRPr="00C87D1F">
        <w:rPr>
          <w:rFonts w:asciiTheme="majorHAnsi" w:hAnsiTheme="majorHAnsi" w:cstheme="majorHAnsi"/>
          <w:i/>
          <w:iCs/>
          <w:sz w:val="18"/>
          <w:szCs w:val="18"/>
          <w:shd w:val="clear" w:color="auto" w:fill="FFFFFF"/>
          <w:lang w:val="fr-CH"/>
        </w:rPr>
        <w:t xml:space="preserve">a Commission Nationale de l'Informatique et des Libertés </w:t>
      </w:r>
      <w:r w:rsidRPr="00C87D1F">
        <w:rPr>
          <w:rFonts w:asciiTheme="majorHAnsi" w:hAnsiTheme="majorHAnsi" w:cstheme="majorHAnsi"/>
          <w:iCs/>
          <w:sz w:val="18"/>
          <w:szCs w:val="18"/>
          <w:shd w:val="clear" w:color="auto" w:fill="FFFFFF"/>
          <w:lang w:val="fr-CH"/>
        </w:rPr>
        <w:t xml:space="preserve">(CNIL) meaning the National Commission of Information Technology and Freedoms. </w:t>
      </w:r>
      <w:r w:rsidRPr="00C87D1F">
        <w:rPr>
          <w:rFonts w:asciiTheme="majorHAnsi" w:hAnsiTheme="majorHAnsi" w:cstheme="majorHAnsi"/>
          <w:sz w:val="18"/>
          <w:szCs w:val="18"/>
          <w:lang w:val="fr-CH"/>
        </w:rPr>
        <w:t xml:space="preserve">See, </w:t>
      </w:r>
      <w:r w:rsidRPr="00C87D1F">
        <w:rPr>
          <w:rFonts w:asciiTheme="majorHAnsi" w:hAnsiTheme="majorHAnsi" w:cstheme="majorHAnsi"/>
          <w:sz w:val="18"/>
          <w:szCs w:val="18"/>
        </w:rPr>
        <w:fldChar w:fldCharType="begin" w:fldLock="1"/>
      </w:r>
      <w:r w:rsidRPr="00C87D1F">
        <w:rPr>
          <w:rFonts w:asciiTheme="majorHAnsi" w:hAnsiTheme="majorHAnsi" w:cstheme="majorHAnsi"/>
          <w:sz w:val="18"/>
          <w:szCs w:val="18"/>
          <w:lang w:val="fr-CH"/>
        </w:rPr>
        <w:instrText>ADDIN CSL_CITATION {"citationItems":[{"id":"ITEM-1","itemData":{"author":[{"dropping-particle":"","family":"Bpifrance","given":"","non-dropping-particle":"","parse-names":false,"suffix":""}],"id":"ITEM-1","issued":{"date-parts":[["2018"]]},"publisher":"CNIL","title":"Guide Pratique de Sensibiliation au RGPD (April)","type":"report"},"uris":["http://www.mendeley.com/documents/?uuid=c11e3191-4d5c-48f7-a1c8-1849c68a3a6b"]}],"mendeley":{"formattedCitation":"Bpifrance, ‘Guide Pratique de Sensibiliation Au RGPD (April)’ (CNIL 2018) &lt;https://www.cnil.fr/sites/default/files/atoms/files/bpi-cnil-rgpd_guide-tpe-pme.pdf&gt;.","plainTextFormattedCitation":"Bpifrance, ‘Guide Pratique de Sensibiliation Au RGPD (April)’ (CNIL 2018) .","previouslyFormattedCitation":"Bpifrance, ‘Guide Pratique de Sensibiliation Au RGPD (April)’ (CNIL 2018) &lt;https://www.cnil.fr/sites/default/files/atoms/files/bpi-cnil-rgpd_guide-tpe-pme.pdf&gt;."},"properties":{"noteIndex":6},"schema":"https://github.com/citation-style-language/schema/raw/master/csl-citation.json"}</w:instrText>
      </w:r>
      <w:r w:rsidRPr="00C87D1F">
        <w:rPr>
          <w:rFonts w:asciiTheme="majorHAnsi" w:hAnsiTheme="majorHAnsi" w:cstheme="majorHAnsi"/>
          <w:sz w:val="18"/>
          <w:szCs w:val="18"/>
        </w:rPr>
        <w:fldChar w:fldCharType="separate"/>
      </w:r>
      <w:r w:rsidRPr="00C87D1F">
        <w:rPr>
          <w:rFonts w:asciiTheme="majorHAnsi" w:hAnsiTheme="majorHAnsi" w:cstheme="majorHAnsi"/>
          <w:noProof/>
          <w:sz w:val="18"/>
          <w:szCs w:val="18"/>
          <w:lang w:val="fr-CH"/>
        </w:rPr>
        <w:t>Bpifrance, ‘Guide Pratique de Sensibiliation Au RGPD (April)’ (CNIL 2018) &lt;https://www.cnil.fr/sites/default/files/atoms/files/bpi-cnil-rgpd_guide-tpe-pme.pdf&gt;.</w:t>
      </w:r>
      <w:r w:rsidRPr="00C87D1F">
        <w:rPr>
          <w:rFonts w:asciiTheme="majorHAnsi" w:hAnsiTheme="majorHAnsi" w:cstheme="majorHAnsi"/>
          <w:sz w:val="18"/>
          <w:szCs w:val="18"/>
        </w:rPr>
        <w:fldChar w:fldCharType="end"/>
      </w:r>
    </w:p>
  </w:footnote>
  <w:footnote w:id="41">
    <w:p w14:paraId="742163B3" w14:textId="4303DFFA" w:rsidR="008E4791" w:rsidRPr="00C87D1F" w:rsidRDefault="008E4791" w:rsidP="00F70934">
      <w:pPr>
        <w:spacing w:after="0"/>
        <w:textAlignment w:val="top"/>
        <w:rPr>
          <w:rFonts w:asciiTheme="majorHAnsi" w:hAnsiTheme="majorHAnsi" w:cstheme="majorHAnsi"/>
          <w:sz w:val="18"/>
          <w:szCs w:val="18"/>
          <w:lang w:val="en-US"/>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w:t>
      </w:r>
      <w:r w:rsidRPr="00C87D1F">
        <w:rPr>
          <w:rFonts w:asciiTheme="majorHAnsi" w:hAnsiTheme="majorHAnsi" w:cstheme="majorHAnsi"/>
          <w:i/>
          <w:iCs/>
          <w:sz w:val="18"/>
          <w:szCs w:val="18"/>
        </w:rPr>
        <w:t>An Coimisiúm um Chosaint Sonrai/</w:t>
      </w:r>
      <w:r w:rsidRPr="00C87D1F">
        <w:rPr>
          <w:rFonts w:asciiTheme="majorHAnsi" w:hAnsiTheme="majorHAnsi" w:cstheme="majorHAnsi"/>
          <w:sz w:val="18"/>
          <w:szCs w:val="18"/>
        </w:rPr>
        <w:t xml:space="preserve"> The Data Protection Commission (DPC). See, </w:t>
      </w:r>
      <w:r w:rsidRPr="00C87D1F">
        <w:rPr>
          <w:rFonts w:asciiTheme="majorHAnsi" w:hAnsiTheme="majorHAnsi" w:cstheme="majorHAnsi"/>
          <w:sz w:val="18"/>
          <w:szCs w:val="18"/>
        </w:rPr>
        <w:fldChar w:fldCharType="begin" w:fldLock="1"/>
      </w:r>
      <w:r w:rsidRPr="00C87D1F">
        <w:rPr>
          <w:rFonts w:asciiTheme="majorHAnsi" w:hAnsiTheme="majorHAnsi" w:cstheme="majorHAnsi"/>
          <w:sz w:val="18"/>
          <w:szCs w:val="18"/>
        </w:rPr>
        <w:instrText>ADDIN CSL_CITATION {"citationItems":[{"id":"ITEM-1","itemData":{"id":"ITEM-1","issued":{"date-parts":[["2019"]]},"publisher":"Data Protection Commission","title":"Guidance Note: GDPR Guidance for SMEs (July)","type":"report"},"uris":["http://www.mendeley.com/documents/?uuid=c10e1ce8-fd82-4df2-8bca-b7590d14edc6"]}],"mendeley":{"formattedCitation":"‘Guidance Note: GDPR Guidance for SMEs (July)’ (Data Protection Commission 2019) &lt;https://www.dataprotection.ie/sites/default/files/uploads/2019-07/190708 Guidance for SMEs.pdf&gt;.","plainTextFormattedCitation":"‘Guidance Note: GDPR Guidance for SMEs (July)’ (Data Protection Commission 2019) .","previouslyFormattedCitation":"‘Guidance Note: GDPR Guidance for SMEs (July)’ (Data Protection Commission 2019) &lt;https://www.dataprotection.ie/sites/default/files/uploads/2019-07/190708 Guidance for SMEs.pdf&gt;."},"properties":{"noteIndex":7},"schema":"https://github.com/citation-style-language/schema/raw/master/csl-citation.json"}</w:instrText>
      </w:r>
      <w:r w:rsidRPr="00C87D1F">
        <w:rPr>
          <w:rFonts w:asciiTheme="majorHAnsi" w:hAnsiTheme="majorHAnsi" w:cstheme="majorHAnsi"/>
          <w:sz w:val="18"/>
          <w:szCs w:val="18"/>
        </w:rPr>
        <w:fldChar w:fldCharType="separate"/>
      </w:r>
      <w:r w:rsidRPr="00C87D1F">
        <w:rPr>
          <w:rFonts w:asciiTheme="majorHAnsi" w:hAnsiTheme="majorHAnsi" w:cstheme="majorHAnsi"/>
          <w:noProof/>
          <w:sz w:val="18"/>
          <w:szCs w:val="18"/>
        </w:rPr>
        <w:t>‘Guidance Note: GDPR Guidance for SMEs (July)’ (Data Protection Commission 2019) &lt;https://www.dataprotection.ie/sites/default/files/uploads/2019-07/190708 Guidance for SMEs.pdf&gt;.</w:t>
      </w:r>
      <w:r w:rsidRPr="00C87D1F">
        <w:rPr>
          <w:rFonts w:asciiTheme="majorHAnsi" w:hAnsiTheme="majorHAnsi" w:cstheme="majorHAnsi"/>
          <w:sz w:val="18"/>
          <w:szCs w:val="18"/>
        </w:rPr>
        <w:fldChar w:fldCharType="end"/>
      </w:r>
    </w:p>
  </w:footnote>
  <w:footnote w:id="42">
    <w:p w14:paraId="3FFAAFA1" w14:textId="2B5128C4" w:rsidR="008E4791" w:rsidRPr="00C87D1F" w:rsidRDefault="008E4791" w:rsidP="00F70934">
      <w:pPr>
        <w:pStyle w:val="FootnoteText"/>
        <w:rPr>
          <w:rFonts w:asciiTheme="majorHAnsi" w:hAnsiTheme="majorHAnsi" w:cstheme="majorHAnsi"/>
          <w:sz w:val="18"/>
          <w:szCs w:val="18"/>
          <w:lang w:val="en-US"/>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w:t>
      </w:r>
      <w:r w:rsidRPr="00C87D1F">
        <w:rPr>
          <w:rFonts w:asciiTheme="majorHAnsi" w:hAnsiTheme="majorHAnsi" w:cstheme="majorHAnsi"/>
          <w:i/>
          <w:sz w:val="18"/>
          <w:szCs w:val="18"/>
        </w:rPr>
        <w:t xml:space="preserve">Valstybinė duomenų apsaugos inspekcija (VDAI) </w:t>
      </w:r>
      <w:r w:rsidRPr="00C87D1F">
        <w:rPr>
          <w:rFonts w:asciiTheme="majorHAnsi" w:hAnsiTheme="majorHAnsi" w:cstheme="majorHAnsi"/>
          <w:sz w:val="18"/>
          <w:szCs w:val="18"/>
        </w:rPr>
        <w:t xml:space="preserve">meaning State Data Protection Inspectorate. See, </w:t>
      </w:r>
      <w:r w:rsidRPr="00C87D1F">
        <w:rPr>
          <w:rFonts w:asciiTheme="majorHAnsi" w:hAnsiTheme="majorHAnsi" w:cstheme="majorHAnsi"/>
          <w:sz w:val="18"/>
          <w:szCs w:val="18"/>
        </w:rPr>
        <w:fldChar w:fldCharType="begin" w:fldLock="1"/>
      </w:r>
      <w:r w:rsidRPr="00C87D1F">
        <w:rPr>
          <w:rFonts w:asciiTheme="majorHAnsi" w:hAnsiTheme="majorHAnsi" w:cstheme="majorHAnsi"/>
          <w:sz w:val="18"/>
          <w:szCs w:val="18"/>
        </w:rPr>
        <w:instrText>ADDIN CSL_CITATION {"citationItems":[{"id":"ITEM-1","itemData":{"author":[{"dropping-particle":"","family":"VDAI","given":"","non-dropping-particle":"","parse-names":false,"suffix":""}],"id":"ITEM-1","issued":{"date-parts":[["2018"]]},"title":"Rekomendacija smulkiajam ir vidutiniam verslui dėl Bendrojo duomenų apsaugos reglamento taikymo (September)","type":"report"},"uris":["http://www.mendeley.com/documents/?uuid=9dec6735-1a39-4171-995b-cd3e187c7b4e"]}],"mendeley":{"formattedCitation":"VDAI, ‘Rekomendacija Smulkiajam Ir Vidutiniam Verslui Dėl Bendrojo Duomenų Apsaugos Reglamento Taikymo (September)’ (2018) &lt;https://vdai.lrv.lt/uploads/vdai/documents/files/Rekomend_SVV_BDAR_2018.pdf&gt;.","plainTextFormattedCitation":"VDAI, ‘Rekomendacija Smulkiajam Ir Vidutiniam Verslui Dėl Bendrojo Duomenų Apsaugos Reglamento Taikymo (September)’ (2018) .","previouslyFormattedCitation":"VDAI, ‘Rekomendacija Smulkiajam Ir Vidutiniam Verslui Dėl Bendrojo Duomenų Apsaugos Reglamento Taikymo (September)’ (2018) &lt;https://vdai.lrv.lt/uploads/vdai/documents/files/Rekomend_SVV_BDAR_2018.pdf&gt;."},"properties":{"noteIndex":8},"schema":"https://github.com/citation-style-language/schema/raw/master/csl-citation.json"}</w:instrText>
      </w:r>
      <w:r w:rsidRPr="00C87D1F">
        <w:rPr>
          <w:rFonts w:asciiTheme="majorHAnsi" w:hAnsiTheme="majorHAnsi" w:cstheme="majorHAnsi"/>
          <w:sz w:val="18"/>
          <w:szCs w:val="18"/>
        </w:rPr>
        <w:fldChar w:fldCharType="separate"/>
      </w:r>
      <w:r w:rsidRPr="00C87D1F">
        <w:rPr>
          <w:rFonts w:asciiTheme="majorHAnsi" w:hAnsiTheme="majorHAnsi" w:cstheme="majorHAnsi"/>
          <w:noProof/>
          <w:sz w:val="18"/>
          <w:szCs w:val="18"/>
        </w:rPr>
        <w:t>VDAI, ‘Rekomendacija Smulkiajam Ir Vidutiniam Verslui Dėl Bendrojo Duomenų Apsaugos Reglamento Taikymo (September)’ (2018) &lt;https://vdai.lrv.lt/uploads/vdai/documents/files/Rekomend_SVV_BDAR_2018.pdf&gt;.</w:t>
      </w:r>
      <w:r w:rsidRPr="00C87D1F">
        <w:rPr>
          <w:rFonts w:asciiTheme="majorHAnsi" w:hAnsiTheme="majorHAnsi" w:cstheme="majorHAnsi"/>
          <w:sz w:val="18"/>
          <w:szCs w:val="18"/>
        </w:rPr>
        <w:fldChar w:fldCharType="end"/>
      </w:r>
    </w:p>
  </w:footnote>
  <w:footnote w:id="43">
    <w:p w14:paraId="0F309905" w14:textId="0A232232" w:rsidR="008E4791" w:rsidRPr="00C87D1F" w:rsidRDefault="008E4791" w:rsidP="00F70934">
      <w:pPr>
        <w:pStyle w:val="FootnoteText"/>
        <w:rPr>
          <w:rFonts w:asciiTheme="majorHAnsi" w:hAnsiTheme="majorHAnsi" w:cstheme="majorHAnsi"/>
          <w:sz w:val="18"/>
          <w:szCs w:val="18"/>
          <w:lang w:val="en-US"/>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w:t>
      </w:r>
      <w:r w:rsidRPr="00C87D1F">
        <w:rPr>
          <w:rFonts w:asciiTheme="majorHAnsi" w:hAnsiTheme="majorHAnsi" w:cstheme="majorHAnsi"/>
          <w:sz w:val="18"/>
          <w:szCs w:val="18"/>
          <w:shd w:val="clear" w:color="auto" w:fill="FFFFFF"/>
        </w:rPr>
        <w:t xml:space="preserve">Informacijski pooblaščenec (IP) meaning the Information Commissioner. See, </w:t>
      </w:r>
      <w:r w:rsidRPr="00C87D1F">
        <w:rPr>
          <w:rFonts w:asciiTheme="majorHAnsi" w:hAnsiTheme="majorHAnsi" w:cstheme="majorHAnsi"/>
          <w:sz w:val="18"/>
          <w:szCs w:val="18"/>
          <w:shd w:val="clear" w:color="auto" w:fill="FFFFFF"/>
        </w:rPr>
        <w:fldChar w:fldCharType="begin" w:fldLock="1"/>
      </w:r>
      <w:r w:rsidRPr="00C87D1F">
        <w:rPr>
          <w:rFonts w:asciiTheme="majorHAnsi" w:hAnsiTheme="majorHAnsi" w:cstheme="majorHAnsi"/>
          <w:sz w:val="18"/>
          <w:szCs w:val="18"/>
          <w:shd w:val="clear" w:color="auto" w:fill="FFFFFF"/>
        </w:rPr>
        <w:instrText>ADDIN CSL_CITATION {"citationItems":[{"id":"ITEM-1","itemData":{"URL":"https://upravljavec.si","accessed":{"date-parts":[["2019","10","3"]]},"container-title":"Upravljavec","id":"ITEM-1","issued":{"date-parts":[["2018"]]},"title":"Varstvo Osebnih Podatkov","type":"webpage"},"uris":["http://www.mendeley.com/documents/?uuid=b174d0c3-357e-4acb-9ba5-18582daa06b3"]}],"mendeley":{"formattedCitation":"‘Varstvo Osebnih Podatkov’ (&lt;i&gt;Upravljavec&lt;/i&gt;, 2018) &lt;https://upravljavec.si&gt; accessed 3 October 2019.","plainTextFormattedCitation":"‘Varstvo Osebnih Podatkov’ (Upravljavec, 2018)  accessed 3 October 2019.","previouslyFormattedCitation":"‘Varstvo Osebnih Podatkov’ (&lt;i&gt;Upravljavec&lt;/i&gt;, 2018) &lt;https://upravljavec.si&gt; accessed 3 October 2019."},"properties":{"noteIndex":9},"schema":"https://github.com/citation-style-language/schema/raw/master/csl-citation.json"}</w:instrText>
      </w:r>
      <w:r w:rsidRPr="00C87D1F">
        <w:rPr>
          <w:rFonts w:asciiTheme="majorHAnsi" w:hAnsiTheme="majorHAnsi" w:cstheme="majorHAnsi"/>
          <w:sz w:val="18"/>
          <w:szCs w:val="18"/>
          <w:shd w:val="clear" w:color="auto" w:fill="FFFFFF"/>
        </w:rPr>
        <w:fldChar w:fldCharType="separate"/>
      </w:r>
      <w:r w:rsidRPr="00C87D1F">
        <w:rPr>
          <w:rFonts w:asciiTheme="majorHAnsi" w:hAnsiTheme="majorHAnsi" w:cstheme="majorHAnsi"/>
          <w:noProof/>
          <w:sz w:val="18"/>
          <w:szCs w:val="18"/>
          <w:shd w:val="clear" w:color="auto" w:fill="FFFFFF"/>
        </w:rPr>
        <w:t>‘Varstvo Osebnih Podatkov’ (</w:t>
      </w:r>
      <w:r w:rsidRPr="00C87D1F">
        <w:rPr>
          <w:rFonts w:asciiTheme="majorHAnsi" w:hAnsiTheme="majorHAnsi" w:cstheme="majorHAnsi"/>
          <w:i/>
          <w:noProof/>
          <w:sz w:val="18"/>
          <w:szCs w:val="18"/>
          <w:shd w:val="clear" w:color="auto" w:fill="FFFFFF"/>
        </w:rPr>
        <w:t>Upravljavec</w:t>
      </w:r>
      <w:r w:rsidRPr="00C87D1F">
        <w:rPr>
          <w:rFonts w:asciiTheme="majorHAnsi" w:hAnsiTheme="majorHAnsi" w:cstheme="majorHAnsi"/>
          <w:noProof/>
          <w:sz w:val="18"/>
          <w:szCs w:val="18"/>
          <w:shd w:val="clear" w:color="auto" w:fill="FFFFFF"/>
        </w:rPr>
        <w:t>, 2018) &lt;https://upravljavec.si&gt; accessed 3 October 2019.</w:t>
      </w:r>
      <w:r w:rsidRPr="00C87D1F">
        <w:rPr>
          <w:rFonts w:asciiTheme="majorHAnsi" w:hAnsiTheme="majorHAnsi" w:cstheme="majorHAnsi"/>
          <w:sz w:val="18"/>
          <w:szCs w:val="18"/>
          <w:shd w:val="clear" w:color="auto" w:fill="FFFFFF"/>
        </w:rPr>
        <w:fldChar w:fldCharType="end"/>
      </w:r>
    </w:p>
  </w:footnote>
  <w:footnote w:id="44">
    <w:p w14:paraId="566B0D03" w14:textId="073A8B8D" w:rsidR="008E4791" w:rsidRPr="00C87D1F" w:rsidRDefault="008E4791" w:rsidP="00F70934">
      <w:pPr>
        <w:pStyle w:val="FootnoteText"/>
        <w:rPr>
          <w:rFonts w:asciiTheme="majorHAnsi" w:hAnsiTheme="majorHAnsi" w:cstheme="majorHAnsi"/>
          <w:sz w:val="18"/>
          <w:szCs w:val="18"/>
          <w:lang w:val="en-US"/>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lang w:val="es-ES"/>
        </w:rPr>
        <w:t xml:space="preserve"> </w:t>
      </w:r>
      <w:r w:rsidRPr="00C87D1F">
        <w:rPr>
          <w:rFonts w:asciiTheme="majorHAnsi" w:hAnsiTheme="majorHAnsi" w:cstheme="majorHAnsi"/>
          <w:sz w:val="18"/>
          <w:szCs w:val="18"/>
          <w:shd w:val="clear" w:color="auto" w:fill="FFFFFF"/>
          <w:lang w:val="es-ES"/>
        </w:rPr>
        <w:t xml:space="preserve">Agencia Española de Protección de Datos (AEPD) meaning Spanish Data Protection Agency. </w:t>
      </w:r>
      <w:r w:rsidRPr="00C87D1F">
        <w:rPr>
          <w:rFonts w:asciiTheme="majorHAnsi" w:hAnsiTheme="majorHAnsi" w:cstheme="majorHAnsi"/>
          <w:sz w:val="18"/>
          <w:szCs w:val="18"/>
          <w:shd w:val="clear" w:color="auto" w:fill="FFFFFF"/>
        </w:rPr>
        <w:t xml:space="preserve">See, </w:t>
      </w:r>
      <w:r w:rsidRPr="00C87D1F">
        <w:rPr>
          <w:rFonts w:asciiTheme="majorHAnsi" w:hAnsiTheme="majorHAnsi" w:cstheme="majorHAnsi"/>
          <w:sz w:val="18"/>
          <w:szCs w:val="18"/>
          <w:shd w:val="clear" w:color="auto" w:fill="FFFFFF"/>
        </w:rPr>
        <w:fldChar w:fldCharType="begin" w:fldLock="1"/>
      </w:r>
      <w:r w:rsidRPr="00C87D1F">
        <w:rPr>
          <w:rFonts w:asciiTheme="majorHAnsi" w:hAnsiTheme="majorHAnsi" w:cstheme="majorHAnsi"/>
          <w:sz w:val="18"/>
          <w:szCs w:val="18"/>
          <w:shd w:val="clear" w:color="auto" w:fill="FFFFFF"/>
        </w:rPr>
        <w:instrText>ADDIN CSL_CITATION {"citationItems":[{"id":"ITEM-1","itemData":{"URL":"https://www.aepd.es/herramientas/facilita.html","accessed":{"date-parts":[["2019","10","3"]]},"container-title":"AEPD","id":"ITEM-1","issued":{"date-parts":[["0"]]},"title":"Facilita RGPD","type":"webpage"},"uris":["http://www.mendeley.com/documents/?uuid=f2a64158-76ef-46d0-a069-3580bea2b511"]}],"mendeley":{"formattedCitation":"‘Facilita RGPD’ (&lt;i&gt;AEPD&lt;/i&gt;) &lt;https://www.aepd.es/herramientas/facilita.html&gt; accessed 3 October 2019.","plainTextFormattedCitation":"‘Facilita RGPD’ (AEPD)  accessed 3 October 2019.","previouslyFormattedCitation":"‘Facilita RGPD’ (&lt;i&gt;AEPD&lt;/i&gt;) &lt;https://www.aepd.es/herramientas/facilita.html&gt; accessed 3 October 2019."},"properties":{"noteIndex":10},"schema":"https://github.com/citation-style-language/schema/raw/master/csl-citation.json"}</w:instrText>
      </w:r>
      <w:r w:rsidRPr="00C87D1F">
        <w:rPr>
          <w:rFonts w:asciiTheme="majorHAnsi" w:hAnsiTheme="majorHAnsi" w:cstheme="majorHAnsi"/>
          <w:sz w:val="18"/>
          <w:szCs w:val="18"/>
          <w:shd w:val="clear" w:color="auto" w:fill="FFFFFF"/>
        </w:rPr>
        <w:fldChar w:fldCharType="separate"/>
      </w:r>
      <w:r w:rsidRPr="00C87D1F">
        <w:rPr>
          <w:rFonts w:asciiTheme="majorHAnsi" w:hAnsiTheme="majorHAnsi" w:cstheme="majorHAnsi"/>
          <w:noProof/>
          <w:sz w:val="18"/>
          <w:szCs w:val="18"/>
          <w:shd w:val="clear" w:color="auto" w:fill="FFFFFF"/>
        </w:rPr>
        <w:t>‘Facilita RGPD’ (</w:t>
      </w:r>
      <w:r w:rsidRPr="00C87D1F">
        <w:rPr>
          <w:rFonts w:asciiTheme="majorHAnsi" w:hAnsiTheme="majorHAnsi" w:cstheme="majorHAnsi"/>
          <w:i/>
          <w:noProof/>
          <w:sz w:val="18"/>
          <w:szCs w:val="18"/>
          <w:shd w:val="clear" w:color="auto" w:fill="FFFFFF"/>
        </w:rPr>
        <w:t>AEPD</w:t>
      </w:r>
      <w:r w:rsidRPr="00C87D1F">
        <w:rPr>
          <w:rFonts w:asciiTheme="majorHAnsi" w:hAnsiTheme="majorHAnsi" w:cstheme="majorHAnsi"/>
          <w:noProof/>
          <w:sz w:val="18"/>
          <w:szCs w:val="18"/>
          <w:shd w:val="clear" w:color="auto" w:fill="FFFFFF"/>
        </w:rPr>
        <w:t>) &lt;https://www.aepd.es/herramientas/facilita.html&gt; accessed 3 October 2019.</w:t>
      </w:r>
      <w:r w:rsidRPr="00C87D1F">
        <w:rPr>
          <w:rFonts w:asciiTheme="majorHAnsi" w:hAnsiTheme="majorHAnsi" w:cstheme="majorHAnsi"/>
          <w:sz w:val="18"/>
          <w:szCs w:val="18"/>
          <w:shd w:val="clear" w:color="auto" w:fill="FFFFFF"/>
        </w:rPr>
        <w:fldChar w:fldCharType="end"/>
      </w:r>
    </w:p>
  </w:footnote>
  <w:footnote w:id="45">
    <w:p w14:paraId="63DF0EC5" w14:textId="73D9F9FE" w:rsidR="008E4791" w:rsidRPr="00C87D1F" w:rsidRDefault="008E4791" w:rsidP="00F70934">
      <w:pPr>
        <w:pStyle w:val="FootnoteText"/>
        <w:rPr>
          <w:rFonts w:asciiTheme="majorHAnsi" w:hAnsiTheme="majorHAnsi" w:cstheme="majorHAnsi"/>
          <w:sz w:val="18"/>
          <w:szCs w:val="18"/>
          <w:lang w:val="en-US"/>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w:t>
      </w:r>
      <w:r w:rsidRPr="00C87D1F">
        <w:rPr>
          <w:rFonts w:asciiTheme="majorHAnsi" w:hAnsiTheme="majorHAnsi" w:cstheme="majorHAnsi"/>
          <w:sz w:val="18"/>
          <w:szCs w:val="18"/>
          <w:lang w:val="en-US"/>
        </w:rPr>
        <w:t xml:space="preserve">Meaning Data Inspection Board. See, </w:t>
      </w:r>
      <w:r w:rsidRPr="00C87D1F">
        <w:rPr>
          <w:rFonts w:asciiTheme="majorHAnsi" w:hAnsiTheme="majorHAnsi" w:cstheme="majorHAnsi"/>
          <w:sz w:val="18"/>
          <w:szCs w:val="18"/>
          <w:lang w:val="en-US"/>
        </w:rPr>
        <w:fldChar w:fldCharType="begin" w:fldLock="1"/>
      </w:r>
      <w:r w:rsidRPr="00C87D1F">
        <w:rPr>
          <w:rFonts w:asciiTheme="majorHAnsi" w:hAnsiTheme="majorHAnsi" w:cstheme="majorHAnsi"/>
          <w:sz w:val="18"/>
          <w:szCs w:val="18"/>
          <w:lang w:val="en-US"/>
        </w:rPr>
        <w:instrText>ADDIN CSL_CITATION {"citationItems":[{"id":"ITEM-1","itemData":{"URL":"https://www.verksamt.se/driva/gdpr-dataskyddsregler","accessed":{"date-parts":[["2019","10","3"]]},"container-title":"Verksamt","id":"ITEM-1","issued":{"date-parts":[["2018"]]},"title":"GDPR - nya dataskyddsregler","type":"webpage"},"uris":["http://www.mendeley.com/documents/?uuid=46474a2c-be2b-4656-b942-c354fd0dd26a"]}],"mendeley":{"formattedCitation":"‘GDPR - Nya Dataskyddsregler’ (&lt;i&gt;Verksamt&lt;/i&gt;, 2018) &lt;https://www.verksamt.se/driva/gdpr-dataskyddsregler&gt; accessed 3 October 2019.","plainTextFormattedCitation":"‘GDPR - Nya Dataskyddsregler’ (Verksamt, 2018)  accessed 3 October 2019.","previouslyFormattedCitation":"‘GDPR - Nya Dataskyddsregler’ (&lt;i&gt;Verksamt&lt;/i&gt;, 2018) &lt;https://www.verksamt.se/driva/gdpr-dataskyddsregler&gt; accessed 3 October 2019."},"properties":{"noteIndex":11},"schema":"https://github.com/citation-style-language/schema/raw/master/csl-citation.json"}</w:instrText>
      </w:r>
      <w:r w:rsidRPr="00C87D1F">
        <w:rPr>
          <w:rFonts w:asciiTheme="majorHAnsi" w:hAnsiTheme="majorHAnsi" w:cstheme="majorHAnsi"/>
          <w:sz w:val="18"/>
          <w:szCs w:val="18"/>
          <w:lang w:val="en-US"/>
        </w:rPr>
        <w:fldChar w:fldCharType="separate"/>
      </w:r>
      <w:r w:rsidRPr="00C87D1F">
        <w:rPr>
          <w:rFonts w:asciiTheme="majorHAnsi" w:hAnsiTheme="majorHAnsi" w:cstheme="majorHAnsi"/>
          <w:noProof/>
          <w:sz w:val="18"/>
          <w:szCs w:val="18"/>
          <w:lang w:val="en-US"/>
        </w:rPr>
        <w:t>‘GDPR - Nya Dataskyddsregler’ (</w:t>
      </w:r>
      <w:r w:rsidRPr="00C87D1F">
        <w:rPr>
          <w:rFonts w:asciiTheme="majorHAnsi" w:hAnsiTheme="majorHAnsi" w:cstheme="majorHAnsi"/>
          <w:i/>
          <w:noProof/>
          <w:sz w:val="18"/>
          <w:szCs w:val="18"/>
          <w:lang w:val="en-US"/>
        </w:rPr>
        <w:t>Verksamt</w:t>
      </w:r>
      <w:r w:rsidRPr="00C87D1F">
        <w:rPr>
          <w:rFonts w:asciiTheme="majorHAnsi" w:hAnsiTheme="majorHAnsi" w:cstheme="majorHAnsi"/>
          <w:noProof/>
          <w:sz w:val="18"/>
          <w:szCs w:val="18"/>
          <w:lang w:val="en-US"/>
        </w:rPr>
        <w:t>, 2018) &lt;https://www.verksamt.se/driva/gdpr-dataskyddsregler&gt; accessed 3 October 2019.</w:t>
      </w:r>
      <w:r w:rsidRPr="00C87D1F">
        <w:rPr>
          <w:rFonts w:asciiTheme="majorHAnsi" w:hAnsiTheme="majorHAnsi" w:cstheme="majorHAnsi"/>
          <w:sz w:val="18"/>
          <w:szCs w:val="18"/>
          <w:lang w:val="en-US"/>
        </w:rPr>
        <w:fldChar w:fldCharType="end"/>
      </w:r>
    </w:p>
  </w:footnote>
  <w:footnote w:id="46">
    <w:p w14:paraId="7F467DDE" w14:textId="706A7F97" w:rsidR="008E4791" w:rsidRPr="00C87D1F" w:rsidRDefault="008E4791" w:rsidP="00F70934">
      <w:pPr>
        <w:pStyle w:val="FootnoteText"/>
        <w:rPr>
          <w:rFonts w:asciiTheme="majorHAnsi" w:hAnsiTheme="majorHAnsi" w:cstheme="majorHAnsi"/>
          <w:sz w:val="18"/>
          <w:szCs w:val="18"/>
          <w:lang w:val="en-US"/>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Information Commissioner’s Office (ICO). See, </w:t>
      </w:r>
      <w:r w:rsidRPr="00C87D1F">
        <w:rPr>
          <w:rFonts w:asciiTheme="majorHAnsi" w:hAnsiTheme="majorHAnsi" w:cstheme="majorHAnsi"/>
          <w:sz w:val="18"/>
          <w:szCs w:val="18"/>
        </w:rPr>
        <w:fldChar w:fldCharType="begin" w:fldLock="1"/>
      </w:r>
      <w:r w:rsidRPr="00C87D1F">
        <w:rPr>
          <w:rFonts w:asciiTheme="majorHAnsi" w:hAnsiTheme="majorHAnsi" w:cstheme="majorHAnsi"/>
          <w:sz w:val="18"/>
          <w:szCs w:val="18"/>
        </w:rPr>
        <w:instrText>ADDIN CSL_CITATION {"citationItems":[{"id":"ITEM-1","itemData":{"URL":"https://ico.org.uk/for-organisations/in-your-sector/business/","accessed":{"date-parts":[["2019","10","3"]]},"container-title":"ICO","id":"ITEM-1","issued":{"date-parts":[["0"]]},"title":"Micro, small and medium organisations","type":"webpage"},"uris":["http://www.mendeley.com/documents/?uuid=3b088702-5def-451f-b0f8-a9cab0b5f777"]}],"mendeley":{"formattedCitation":"‘Micro, Small and Medium Organisations’ (&lt;i&gt;ICO&lt;/i&gt;) &lt;https://ico.org.uk/for-organisations/in-your-sector/business/&gt; accessed 3 October 2019.","plainTextFormattedCitation":"‘Micro, Small and Medium Organisations’ (ICO)  accessed 3 October 2019.","previouslyFormattedCitation":"‘Micro, Small and Medium Organisations’ (&lt;i&gt;ICO&lt;/i&gt;) &lt;https://ico.org.uk/for-organisations/in-your-sector/business/&gt; accessed 3 October 2019."},"properties":{"noteIndex":12},"schema":"https://github.com/citation-style-language/schema/raw/master/csl-citation.json"}</w:instrText>
      </w:r>
      <w:r w:rsidRPr="00C87D1F">
        <w:rPr>
          <w:rFonts w:asciiTheme="majorHAnsi" w:hAnsiTheme="majorHAnsi" w:cstheme="majorHAnsi"/>
          <w:sz w:val="18"/>
          <w:szCs w:val="18"/>
        </w:rPr>
        <w:fldChar w:fldCharType="separate"/>
      </w:r>
      <w:r w:rsidRPr="00C87D1F">
        <w:rPr>
          <w:rFonts w:asciiTheme="majorHAnsi" w:hAnsiTheme="majorHAnsi" w:cstheme="majorHAnsi"/>
          <w:noProof/>
          <w:sz w:val="18"/>
          <w:szCs w:val="18"/>
        </w:rPr>
        <w:t>‘Micro, Small and Medium Organisations’ (</w:t>
      </w:r>
      <w:r w:rsidRPr="00C87D1F">
        <w:rPr>
          <w:rFonts w:asciiTheme="majorHAnsi" w:hAnsiTheme="majorHAnsi" w:cstheme="majorHAnsi"/>
          <w:i/>
          <w:noProof/>
          <w:sz w:val="18"/>
          <w:szCs w:val="18"/>
        </w:rPr>
        <w:t>ICO</w:t>
      </w:r>
      <w:r w:rsidRPr="00C87D1F">
        <w:rPr>
          <w:rFonts w:asciiTheme="majorHAnsi" w:hAnsiTheme="majorHAnsi" w:cstheme="majorHAnsi"/>
          <w:noProof/>
          <w:sz w:val="18"/>
          <w:szCs w:val="18"/>
        </w:rPr>
        <w:t>) &lt;https://ico.org.uk/for-organisations/in-your-sector/business/&gt; accessed 3 October 2019.</w:t>
      </w:r>
      <w:r w:rsidRPr="00C87D1F">
        <w:rPr>
          <w:rFonts w:asciiTheme="majorHAnsi" w:hAnsiTheme="majorHAnsi" w:cstheme="majorHAnsi"/>
          <w:sz w:val="18"/>
          <w:szCs w:val="18"/>
        </w:rPr>
        <w:fldChar w:fldCharType="end"/>
      </w:r>
    </w:p>
  </w:footnote>
  <w:footnote w:id="47">
    <w:p w14:paraId="16814141" w14:textId="705DA9FB" w:rsidR="008E4791" w:rsidRPr="00C87D1F" w:rsidRDefault="008E4791" w:rsidP="00F70934">
      <w:pPr>
        <w:pStyle w:val="FootnoteText"/>
        <w:rPr>
          <w:rFonts w:asciiTheme="majorHAnsi" w:hAnsiTheme="majorHAnsi" w:cstheme="majorHAnsi"/>
          <w:sz w:val="18"/>
          <w:szCs w:val="18"/>
          <w:lang w:val="en-US"/>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lang w:val="en-US"/>
        </w:rPr>
        <w:t xml:space="preserve"> </w:t>
      </w:r>
      <w:r w:rsidRPr="00C87D1F">
        <w:rPr>
          <w:rFonts w:asciiTheme="majorHAnsi" w:hAnsiTheme="majorHAnsi" w:cstheme="majorHAnsi"/>
          <w:sz w:val="18"/>
          <w:szCs w:val="18"/>
          <w:lang w:val="en-US"/>
        </w:rPr>
        <w:fldChar w:fldCharType="begin" w:fldLock="1"/>
      </w:r>
      <w:r w:rsidRPr="00C87D1F">
        <w:rPr>
          <w:rFonts w:asciiTheme="majorHAnsi" w:hAnsiTheme="majorHAnsi" w:cstheme="majorHAnsi"/>
          <w:sz w:val="18"/>
          <w:szCs w:val="18"/>
          <w:lang w:val="en-US"/>
        </w:rPr>
        <w:instrText>ADDIN CSL_CITATION {"citationItems":[{"id":"ITEM-1","itemData":{"id":"ITEM-1","issued":{"date-parts":[["2019"]]},"publisher":"Data Protection Commission","title":"Guidance Note: Data Security Guidance for Microenterprises (July)","type":"report"},"uris":["http://www.mendeley.com/documents/?uuid=3a9b51ed-8eb5-41c2-9012-f820fdddd93a"]},{"id":"ITEM-2","itemData":{"URL":"https://ico.org.uk/for-organisations/data-protection-self-assessment/assessment-for-small-business-owners-and-sole-traders/","accessed":{"date-parts":[["2019","10","4"]]},"container-title":"ICO","id":"ITEM-2","issued":{"date-parts":[["0"]]},"title":"How well do you comply with data protection law: an assessment for small business owners and sole traders","type":"webpage"},"uris":["http://www.mendeley.com/documents/?uuid=ed1860d6-1049-4934-899e-bbf75e5eb3b1"]}],"mendeley":{"formattedCitation":"‘Guidance Note: Data Security Guidance for Microenterprises (July)’ (Data Protection Commission 2019) &lt;https://www.dataprotection.ie/sites/default/files/uploads/2019-07/190709 Data Security Guidance for Micro Enterprises.pdf&gt;; ‘How Well Do You Comply with Data Protection Law: An Assessment for Small Business Owners and Sole Traders’ (&lt;i&gt;ICO&lt;/i&gt;) &lt;https://ico.org.uk/for-organisations/data-protection-self-assessment/assessment-for-small-business-owners-and-sole-traders/&gt; accessed 4 October 2019.","plainTextFormattedCitation":"‘Guidance Note: Data Security Guidance for Microenterprises (July)’ (Data Protection Commission 2019) ; ‘How Well Do You Comply with Data Protection Law: An Assessment for Small Business Owners and Sole Traders’ (ICO)  accessed 4 October 2019.","previouslyFormattedCitation":"‘Guidance Note: Data Security Guidance for Microenterprises (July)’ (Data Protection Commission 2019) &lt;https://www.dataprotection.ie/sites/default/files/uploads/2019-07/190709 Data Security Guidance for Micro Enterprises.pdf&gt;; ‘How Well Do You Comply with Data Protection Law: An Assessment for Small Business Owners and Sole Traders’ (&lt;i&gt;ICO&lt;/i&gt;) &lt;https://ico.org.uk/for-organisations/data-protection-self-assessment/assessment-for-small-business-owners-and-sole-traders/&gt; accessed 4 October 2019."},"properties":{"noteIndex":13},"schema":"https://github.com/citation-style-language/schema/raw/master/csl-citation.json"}</w:instrText>
      </w:r>
      <w:r w:rsidRPr="00C87D1F">
        <w:rPr>
          <w:rFonts w:asciiTheme="majorHAnsi" w:hAnsiTheme="majorHAnsi" w:cstheme="majorHAnsi"/>
          <w:sz w:val="18"/>
          <w:szCs w:val="18"/>
          <w:lang w:val="en-US"/>
        </w:rPr>
        <w:fldChar w:fldCharType="separate"/>
      </w:r>
      <w:r w:rsidRPr="00C87D1F">
        <w:rPr>
          <w:rFonts w:asciiTheme="majorHAnsi" w:hAnsiTheme="majorHAnsi" w:cstheme="majorHAnsi"/>
          <w:noProof/>
          <w:sz w:val="18"/>
          <w:szCs w:val="18"/>
          <w:lang w:val="en-US"/>
        </w:rPr>
        <w:t>‘Guidance Note: Data Security Guidance for Microenterprises (July)’ (Data Protection Commission 2019) &lt;https://www.dataprotection.ie/sites/default/files/uploads/2019-07/190709 Data Security Guidance for Micro Enterprises.pdf&gt;; ‘How Well Do You Comply with Data Protection Law: An Assessment for Small Business Owners and Sole Traders’ (</w:t>
      </w:r>
      <w:r w:rsidRPr="00C87D1F">
        <w:rPr>
          <w:rFonts w:asciiTheme="majorHAnsi" w:hAnsiTheme="majorHAnsi" w:cstheme="majorHAnsi"/>
          <w:i/>
          <w:noProof/>
          <w:sz w:val="18"/>
          <w:szCs w:val="18"/>
          <w:lang w:val="en-US"/>
        </w:rPr>
        <w:t>ICO</w:t>
      </w:r>
      <w:r w:rsidRPr="00C87D1F">
        <w:rPr>
          <w:rFonts w:asciiTheme="majorHAnsi" w:hAnsiTheme="majorHAnsi" w:cstheme="majorHAnsi"/>
          <w:noProof/>
          <w:sz w:val="18"/>
          <w:szCs w:val="18"/>
          <w:lang w:val="en-US"/>
        </w:rPr>
        <w:t>) &lt;https://ico.org.uk/for-organisations/data-protection-self-assessment/assessment-for-small-business-owners-and-sole-traders/&gt; accessed 4 October 2019.</w:t>
      </w:r>
      <w:r w:rsidRPr="00C87D1F">
        <w:rPr>
          <w:rFonts w:asciiTheme="majorHAnsi" w:hAnsiTheme="majorHAnsi" w:cstheme="majorHAnsi"/>
          <w:sz w:val="18"/>
          <w:szCs w:val="18"/>
          <w:lang w:val="en-US"/>
        </w:rPr>
        <w:fldChar w:fldCharType="end"/>
      </w:r>
    </w:p>
  </w:footnote>
  <w:footnote w:id="48">
    <w:p w14:paraId="2ED982FC" w14:textId="4D1A81A9" w:rsidR="008E4791" w:rsidRPr="00C87D1F" w:rsidRDefault="008E4791"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Other DPAs also take a similar approach.</w:t>
      </w:r>
    </w:p>
  </w:footnote>
  <w:footnote w:id="49">
    <w:p w14:paraId="5EDC4A76" w14:textId="61C85AAA" w:rsidR="008E4791" w:rsidRPr="00C87D1F" w:rsidRDefault="008E4791"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w:t>
      </w:r>
      <w:r w:rsidRPr="00C87D1F">
        <w:rPr>
          <w:rFonts w:asciiTheme="majorHAnsi" w:hAnsiTheme="majorHAnsi" w:cstheme="majorHAnsi"/>
          <w:sz w:val="18"/>
          <w:szCs w:val="18"/>
        </w:rPr>
        <w:fldChar w:fldCharType="begin" w:fldLock="1"/>
      </w:r>
      <w:r w:rsidRPr="00C87D1F">
        <w:rPr>
          <w:rFonts w:asciiTheme="majorHAnsi" w:hAnsiTheme="majorHAnsi" w:cstheme="majorHAnsi"/>
          <w:sz w:val="18"/>
          <w:szCs w:val="18"/>
        </w:rPr>
        <w:instrText>ADDIN CSL_CITATION {"citationItems":[{"id":"ITEM-1","itemData":{"URL":"https://www.verksamt.se/driva/gdpr-dataskyddsregler/gdpr-guiden","accessed":{"date-parts":[["2019","10","3"]]},"container-title":"Verksamt","id":"ITEM-1","issued":{"date-parts":[["2018"]]},"title":"GDPR-guiden","type":"webpage"},"uris":["http://www.mendeley.com/documents/?uuid=b7fb45f6-55c6-4e42-9b2b-54909307c695"]}],"mendeley":{"formattedCitation":"‘GDPR-Guiden’ (&lt;i&gt;Verksamt&lt;/i&gt;, 2018) &lt;https://www.verksamt.se/driva/gdpr-dataskyddsregler/gdpr-guiden&gt; accessed 3 October 2019.","plainTextFormattedCitation":"‘GDPR-Guiden’ (Verksamt, 2018)  accessed 3 October 2019.","previouslyFormattedCitation":"‘GDPR-Guiden’ (&lt;i&gt;Verksamt&lt;/i&gt;, 2018) &lt;https://www.verksamt.se/driva/gdpr-dataskyddsregler/gdpr-guiden&gt; accessed 3 October 2019."},"properties":{"noteIndex":14},"schema":"https://github.com/citation-style-language/schema/raw/master/csl-citation.json"}</w:instrText>
      </w:r>
      <w:r w:rsidRPr="00C87D1F">
        <w:rPr>
          <w:rFonts w:asciiTheme="majorHAnsi" w:hAnsiTheme="majorHAnsi" w:cstheme="majorHAnsi"/>
          <w:sz w:val="18"/>
          <w:szCs w:val="18"/>
        </w:rPr>
        <w:fldChar w:fldCharType="separate"/>
      </w:r>
      <w:r w:rsidRPr="00C87D1F">
        <w:rPr>
          <w:rFonts w:asciiTheme="majorHAnsi" w:hAnsiTheme="majorHAnsi" w:cstheme="majorHAnsi"/>
          <w:noProof/>
          <w:sz w:val="18"/>
          <w:szCs w:val="18"/>
        </w:rPr>
        <w:t>‘GDPR-Guiden’ (</w:t>
      </w:r>
      <w:r w:rsidRPr="00C87D1F">
        <w:rPr>
          <w:rFonts w:asciiTheme="majorHAnsi" w:hAnsiTheme="majorHAnsi" w:cstheme="majorHAnsi"/>
          <w:i/>
          <w:noProof/>
          <w:sz w:val="18"/>
          <w:szCs w:val="18"/>
        </w:rPr>
        <w:t>Verksamt</w:t>
      </w:r>
      <w:r w:rsidRPr="00C87D1F">
        <w:rPr>
          <w:rFonts w:asciiTheme="majorHAnsi" w:hAnsiTheme="majorHAnsi" w:cstheme="majorHAnsi"/>
          <w:noProof/>
          <w:sz w:val="18"/>
          <w:szCs w:val="18"/>
        </w:rPr>
        <w:t>, 2018) &lt;https://www.verksamt.se/driva/gdpr-dataskyddsregler/gdpr-guiden&gt; accessed 3 October 2019.</w:t>
      </w:r>
      <w:r w:rsidRPr="00C87D1F">
        <w:rPr>
          <w:rFonts w:asciiTheme="majorHAnsi" w:hAnsiTheme="majorHAnsi" w:cstheme="majorHAnsi"/>
          <w:sz w:val="18"/>
          <w:szCs w:val="18"/>
        </w:rPr>
        <w:fldChar w:fldCharType="end"/>
      </w:r>
    </w:p>
  </w:footnote>
  <w:footnote w:id="50">
    <w:p w14:paraId="30A3358D" w14:textId="7DD229F6" w:rsidR="008E4791" w:rsidRPr="00C87D1F" w:rsidRDefault="008E4791"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fldChar w:fldCharType="begin" w:fldLock="1"/>
      </w:r>
      <w:r w:rsidRPr="00C87D1F">
        <w:rPr>
          <w:rFonts w:asciiTheme="majorHAnsi" w:hAnsiTheme="majorHAnsi" w:cstheme="majorHAnsi"/>
          <w:sz w:val="18"/>
          <w:szCs w:val="18"/>
        </w:rPr>
        <w:instrText>ADDIN CSL_CITATION {"citationItems":[{"id":"ITEM-1","itemData":{"URL":"https://ico.org.uk/for-organisations/data-protection-self-assessment/assessment-for-small-business-owners-and-sole-traders/","accessed":{"date-parts":[["2019","10","4"]]},"container-title":"ICO","id":"ITEM-1","issued":{"date-parts":[["0"]]},"title":"How well do you comply with data protection law: an assessment for small business owners and sole traders","type":"webpage"},"uris":["http://www.mendeley.com/documents/?uuid=ed1860d6-1049-4934-899e-bbf75e5eb3b1"]}],"mendeley":{"formattedCitation":"‘How Well Do You Comply with Data Protection Law: An Assessment for Small Business Owners and Sole Traders’ (n 13).","plainTextFormattedCitation":"‘How Well Do You Comply with Data Protection Law: An Assessment for Small Business Owners and Sole Traders’ (n 13)."},"properties":{"noteIndex":15},"schema":"https://github.com/citation-style-language/schema/raw/master/csl-citation.json"}</w:instrText>
      </w:r>
      <w:r w:rsidRPr="00C87D1F">
        <w:rPr>
          <w:rFonts w:asciiTheme="majorHAnsi" w:hAnsiTheme="majorHAnsi" w:cstheme="majorHAnsi"/>
          <w:sz w:val="18"/>
          <w:szCs w:val="18"/>
        </w:rPr>
        <w:fldChar w:fldCharType="separate"/>
      </w:r>
      <w:r w:rsidRPr="00C87D1F">
        <w:rPr>
          <w:rFonts w:asciiTheme="majorHAnsi" w:hAnsiTheme="majorHAnsi" w:cstheme="majorHAnsi"/>
          <w:noProof/>
          <w:sz w:val="18"/>
          <w:szCs w:val="18"/>
        </w:rPr>
        <w:t>‘How Well Do You Comply with Data Protection Law: An Assessment for Small Business Owners and Sole Traders’ (n 13).</w:t>
      </w:r>
      <w:r w:rsidRPr="00C87D1F">
        <w:rPr>
          <w:rFonts w:asciiTheme="majorHAnsi" w:hAnsiTheme="majorHAnsi" w:cstheme="majorHAnsi"/>
          <w:sz w:val="18"/>
          <w:szCs w:val="18"/>
        </w:rPr>
        <w:fldChar w:fldCharType="end"/>
      </w:r>
    </w:p>
  </w:footnote>
  <w:footnote w:id="51">
    <w:p w14:paraId="6B38C673" w14:textId="5F4672E4" w:rsidR="008E4791" w:rsidRPr="00C87D1F" w:rsidRDefault="008E4791"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See, </w:t>
      </w:r>
      <w:hyperlink r:id="rId6" w:history="1">
        <w:r w:rsidRPr="00C87D1F">
          <w:rPr>
            <w:rStyle w:val="Hyperlink"/>
            <w:rFonts w:asciiTheme="majorHAnsi" w:hAnsiTheme="majorHAnsi" w:cstheme="majorHAnsi"/>
            <w:sz w:val="18"/>
            <w:szCs w:val="18"/>
          </w:rPr>
          <w:t>https://ico.org.uk/for-organisations/in-your-sector/business/</w:t>
        </w:r>
      </w:hyperlink>
      <w:r w:rsidRPr="00C87D1F">
        <w:rPr>
          <w:rFonts w:asciiTheme="majorHAnsi" w:hAnsiTheme="majorHAnsi" w:cstheme="majorHAnsi"/>
          <w:sz w:val="18"/>
          <w:szCs w:val="18"/>
        </w:rPr>
        <w:t xml:space="preserve"> accessed 7 October 2019.</w:t>
      </w:r>
    </w:p>
  </w:footnote>
  <w:footnote w:id="52">
    <w:p w14:paraId="77B10D69" w14:textId="3B347363" w:rsidR="008E4791" w:rsidRPr="00C87D1F" w:rsidRDefault="008E4791"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Link provided in the </w:t>
      </w:r>
      <w:r w:rsidRPr="00C87D1F">
        <w:rPr>
          <w:rFonts w:asciiTheme="majorHAnsi" w:hAnsiTheme="majorHAnsi" w:cstheme="majorHAnsi"/>
          <w:i/>
          <w:iCs/>
          <w:noProof/>
          <w:sz w:val="18"/>
          <w:szCs w:val="18"/>
        </w:rPr>
        <w:t xml:space="preserve">Rekomendacija </w:t>
      </w:r>
      <w:r w:rsidRPr="00C87D1F">
        <w:rPr>
          <w:rFonts w:asciiTheme="majorHAnsi" w:hAnsiTheme="majorHAnsi" w:cstheme="majorHAnsi"/>
          <w:noProof/>
          <w:sz w:val="18"/>
          <w:szCs w:val="18"/>
        </w:rPr>
        <w:t xml:space="preserve">leads here: </w:t>
      </w:r>
      <w:r w:rsidRPr="00C87D1F">
        <w:rPr>
          <w:rFonts w:asciiTheme="majorHAnsi" w:hAnsiTheme="majorHAnsi" w:cstheme="majorHAnsi"/>
          <w:noProof/>
          <w:sz w:val="18"/>
          <w:szCs w:val="18"/>
        </w:rPr>
        <w:fldChar w:fldCharType="begin" w:fldLock="1"/>
      </w:r>
      <w:r w:rsidRPr="00C87D1F">
        <w:rPr>
          <w:rFonts w:asciiTheme="majorHAnsi" w:hAnsiTheme="majorHAnsi" w:cstheme="majorHAnsi"/>
          <w:noProof/>
          <w:sz w:val="18"/>
          <w:szCs w:val="18"/>
        </w:rPr>
        <w:instrText>ADDIN CSL_CITATION {"citationItems":[{"id":"ITEM-1","itemData":{"URL":"https://www.ada.lt/go.php/lit/Pavyzdine-poveikio-duomenu-apsaugai-atlikimo-forma-2018-m","accessed":{"date-parts":[["2019","10","4"]]},"container-title":"VDAI","id":"ITEM-1","issued":{"date-parts":[["2018"]]},"title":"Pavyzdinė poveikio duomenų apsaugai atlikimo forma (2018 m.)","type":"webpage"},"uris":["http://www.mendeley.com/documents/?uuid=9a0f9aca-43d9-4a78-9896-2fcec4a3b682"]}],"mendeley":{"formattedCitation":"‘Pavyzdinė Poveikio Duomenų Apsaugai Atlikimo Forma (2018 M.)’ (&lt;i&gt;VDAI&lt;/i&gt;, 2018) &lt;https://www.ada.lt/go.php/lit/Pavyzdine-poveikio-duomenu-apsaugai-atlikimo-forma-2018-m&gt; accessed 4 October 2019.","plainTextFormattedCitation":"‘Pavyzdinė Poveikio Duomenų Apsaugai Atlikimo Forma (2018 M.)’ (VDAI, 2018)  accessed 4 October 2019.","previouslyFormattedCitation":"‘Pavyzdinė Poveikio Duomenų Apsaugai Atlikimo Forma (2018 M.)’ (&lt;i&gt;VDAI&lt;/i&gt;, 2018) &lt;https://www.ada.lt/go.php/lit/Pavyzdine-poveikio-duomenu-apsaugai-atlikimo-forma-2018-m&gt; accessed 4 October 2019."},"properties":{"noteIndex":17},"schema":"https://github.com/citation-style-language/schema/raw/master/csl-citation.json"}</w:instrText>
      </w:r>
      <w:r w:rsidRPr="00C87D1F">
        <w:rPr>
          <w:rFonts w:asciiTheme="majorHAnsi" w:hAnsiTheme="majorHAnsi" w:cstheme="majorHAnsi"/>
          <w:noProof/>
          <w:sz w:val="18"/>
          <w:szCs w:val="18"/>
        </w:rPr>
        <w:fldChar w:fldCharType="separate"/>
      </w:r>
      <w:r w:rsidRPr="00C87D1F">
        <w:rPr>
          <w:rFonts w:asciiTheme="majorHAnsi" w:hAnsiTheme="majorHAnsi" w:cstheme="majorHAnsi"/>
          <w:noProof/>
          <w:sz w:val="18"/>
          <w:szCs w:val="18"/>
        </w:rPr>
        <w:t>‘Pavyzdinė Poveikio Duomenų Apsaugai Atlikimo Forma (2018 M.)’ (</w:t>
      </w:r>
      <w:r w:rsidRPr="00C87D1F">
        <w:rPr>
          <w:rFonts w:asciiTheme="majorHAnsi" w:hAnsiTheme="majorHAnsi" w:cstheme="majorHAnsi"/>
          <w:i/>
          <w:noProof/>
          <w:sz w:val="18"/>
          <w:szCs w:val="18"/>
        </w:rPr>
        <w:t>VDAI</w:t>
      </w:r>
      <w:r w:rsidRPr="00C87D1F">
        <w:rPr>
          <w:rFonts w:asciiTheme="majorHAnsi" w:hAnsiTheme="majorHAnsi" w:cstheme="majorHAnsi"/>
          <w:noProof/>
          <w:sz w:val="18"/>
          <w:szCs w:val="18"/>
        </w:rPr>
        <w:t>, 2018) &lt;https://www.ada.lt/go.php/lit/Pavyzdine-poveikio-duomenu-apsaugai-atlikimo-forma-2018-m&gt; accessed 4 October 2019.</w:t>
      </w:r>
      <w:r w:rsidRPr="00C87D1F">
        <w:rPr>
          <w:rFonts w:asciiTheme="majorHAnsi" w:hAnsiTheme="majorHAnsi" w:cstheme="majorHAnsi"/>
          <w:noProof/>
          <w:sz w:val="18"/>
          <w:szCs w:val="18"/>
        </w:rPr>
        <w:fldChar w:fldCharType="end"/>
      </w:r>
    </w:p>
  </w:footnote>
  <w:footnote w:id="53">
    <w:p w14:paraId="5E5C7B31" w14:textId="27478F95" w:rsidR="008E4791" w:rsidRPr="00C87D1F" w:rsidRDefault="008E4791" w:rsidP="00F70934">
      <w:pPr>
        <w:pStyle w:val="FootnoteText"/>
        <w:rPr>
          <w:rFonts w:asciiTheme="majorHAnsi" w:hAnsiTheme="majorHAnsi" w:cstheme="majorHAnsi"/>
          <w:sz w:val="18"/>
          <w:szCs w:val="18"/>
          <w:lang w:val="en-US"/>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w:t>
      </w:r>
      <w:r w:rsidRPr="00C87D1F">
        <w:rPr>
          <w:rFonts w:asciiTheme="majorHAnsi" w:hAnsiTheme="majorHAnsi" w:cstheme="majorHAnsi"/>
          <w:sz w:val="18"/>
          <w:szCs w:val="18"/>
        </w:rPr>
        <w:fldChar w:fldCharType="begin" w:fldLock="1"/>
      </w:r>
      <w:r w:rsidRPr="00C87D1F">
        <w:rPr>
          <w:rFonts w:asciiTheme="majorHAnsi" w:hAnsiTheme="majorHAnsi" w:cstheme="majorHAnsi"/>
          <w:sz w:val="18"/>
          <w:szCs w:val="18"/>
        </w:rPr>
        <w:instrText>ADDIN CSL_CITATION {"citationItems":[{"id":"ITEM-1","itemData":{"URL":"https://upravljavec.si/obrazci/","accessed":{"date-parts":[["2019","10","3"]]},"container-title":"Upravljavec","id":"ITEM-1","issued":{"date-parts":[["2018"]]},"title":"Obrazci","type":"webpage"},"uris":["http://www.mendeley.com/documents/?uuid=6f5e4a91-35ca-48a2-a1a0-6889dc473b81"]}],"mendeley":{"formattedCitation":"‘Obrazci’ (&lt;i&gt;Upravljavec&lt;/i&gt;, 2018) &lt;https://upravljavec.si/obrazci/&gt; accessed 3 October 2019.","plainTextFormattedCitation":"‘Obrazci’ (Upravljavec, 2018)  accessed 3 October 2019.","previouslyFormattedCitation":"‘Obrazci’ (&lt;i&gt;Upravljavec&lt;/i&gt;, 2018) &lt;https://upravljavec.si/obrazci/&gt; accessed 3 October 2019."},"properties":{"noteIndex":18},"schema":"https://github.com/citation-style-language/schema/raw/master/csl-citation.json"}</w:instrText>
      </w:r>
      <w:r w:rsidRPr="00C87D1F">
        <w:rPr>
          <w:rFonts w:asciiTheme="majorHAnsi" w:hAnsiTheme="majorHAnsi" w:cstheme="majorHAnsi"/>
          <w:sz w:val="18"/>
          <w:szCs w:val="18"/>
        </w:rPr>
        <w:fldChar w:fldCharType="separate"/>
      </w:r>
      <w:r w:rsidRPr="00C87D1F">
        <w:rPr>
          <w:rFonts w:asciiTheme="majorHAnsi" w:hAnsiTheme="majorHAnsi" w:cstheme="majorHAnsi"/>
          <w:noProof/>
          <w:sz w:val="18"/>
          <w:szCs w:val="18"/>
        </w:rPr>
        <w:t>‘Obrazci’ (</w:t>
      </w:r>
      <w:r w:rsidRPr="00C87D1F">
        <w:rPr>
          <w:rFonts w:asciiTheme="majorHAnsi" w:hAnsiTheme="majorHAnsi" w:cstheme="majorHAnsi"/>
          <w:i/>
          <w:noProof/>
          <w:sz w:val="18"/>
          <w:szCs w:val="18"/>
        </w:rPr>
        <w:t>Upravljavec</w:t>
      </w:r>
      <w:r w:rsidRPr="00C87D1F">
        <w:rPr>
          <w:rFonts w:asciiTheme="majorHAnsi" w:hAnsiTheme="majorHAnsi" w:cstheme="majorHAnsi"/>
          <w:noProof/>
          <w:sz w:val="18"/>
          <w:szCs w:val="18"/>
        </w:rPr>
        <w:t>, 2018) &lt;https://upravljavec.si/obrazci/&gt; accessed 3 October 2019.</w:t>
      </w:r>
      <w:r w:rsidRPr="00C87D1F">
        <w:rPr>
          <w:rFonts w:asciiTheme="majorHAnsi" w:hAnsiTheme="majorHAnsi" w:cstheme="majorHAnsi"/>
          <w:sz w:val="18"/>
          <w:szCs w:val="18"/>
        </w:rPr>
        <w:fldChar w:fldCharType="end"/>
      </w:r>
    </w:p>
  </w:footnote>
  <w:footnote w:id="54">
    <w:p w14:paraId="1CEEDEFE" w14:textId="571F6135" w:rsidR="008E4791" w:rsidRPr="00C87D1F" w:rsidRDefault="008E4791"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w:t>
      </w:r>
      <w:r w:rsidRPr="00C87D1F">
        <w:rPr>
          <w:rFonts w:asciiTheme="majorHAnsi" w:hAnsiTheme="majorHAnsi" w:cstheme="majorHAnsi"/>
          <w:sz w:val="18"/>
          <w:szCs w:val="18"/>
        </w:rPr>
        <w:fldChar w:fldCharType="begin" w:fldLock="1"/>
      </w:r>
      <w:r w:rsidRPr="00C87D1F">
        <w:rPr>
          <w:rFonts w:asciiTheme="majorHAnsi" w:hAnsiTheme="majorHAnsi" w:cstheme="majorHAnsi"/>
          <w:sz w:val="18"/>
          <w:szCs w:val="18"/>
        </w:rPr>
        <w:instrText>ADDIN CSL_CITATION {"citationItems":[{"id":"ITEM-1","itemData":{"URL":"https://www.aepd.es/herramientas/facilita.html","accessed":{"date-parts":[["2019","10","3"]]},"container-title":"AEPD","id":"ITEM-1","issued":{"date-parts":[["0"]]},"title":"Facilita RGPD","type":"webpage"},"uris":["http://www.mendeley.com/documents/?uuid=f2a64158-76ef-46d0-a069-3580bea2b511"]}],"mendeley":{"formattedCitation":"‘Facilita RGPD’ (n 10).","plainTextFormattedCitation":"‘Facilita RGPD’ (n 10).","previouslyFormattedCitation":"‘Facilita RGPD’ (n 10)."},"properties":{"noteIndex":19},"schema":"https://github.com/citation-style-language/schema/raw/master/csl-citation.json"}</w:instrText>
      </w:r>
      <w:r w:rsidRPr="00C87D1F">
        <w:rPr>
          <w:rFonts w:asciiTheme="majorHAnsi" w:hAnsiTheme="majorHAnsi" w:cstheme="majorHAnsi"/>
          <w:sz w:val="18"/>
          <w:szCs w:val="18"/>
        </w:rPr>
        <w:fldChar w:fldCharType="separate"/>
      </w:r>
      <w:r w:rsidRPr="00C87D1F">
        <w:rPr>
          <w:rFonts w:asciiTheme="majorHAnsi" w:hAnsiTheme="majorHAnsi" w:cstheme="majorHAnsi"/>
          <w:noProof/>
          <w:sz w:val="18"/>
          <w:szCs w:val="18"/>
        </w:rPr>
        <w:t>‘Facilita RGPD’ (n 10).</w:t>
      </w:r>
      <w:r w:rsidRPr="00C87D1F">
        <w:rPr>
          <w:rFonts w:asciiTheme="majorHAnsi" w:hAnsiTheme="majorHAnsi" w:cstheme="majorHAnsi"/>
          <w:sz w:val="18"/>
          <w:szCs w:val="18"/>
        </w:rPr>
        <w:fldChar w:fldCharType="end"/>
      </w:r>
    </w:p>
  </w:footnote>
  <w:footnote w:id="55">
    <w:p w14:paraId="48F7E5B3" w14:textId="263727AE" w:rsidR="008E4791" w:rsidRPr="00C87D1F" w:rsidRDefault="008E4791"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This may explain why such service is not available on all DPA websites.</w:t>
      </w:r>
    </w:p>
  </w:footnote>
  <w:footnote w:id="56">
    <w:p w14:paraId="308D0DE7" w14:textId="14009CEF" w:rsidR="008E4791" w:rsidRPr="00C87D1F" w:rsidRDefault="008E4791"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w:t>
      </w:r>
      <w:r w:rsidR="00782DA4" w:rsidRPr="00C87D1F">
        <w:rPr>
          <w:rFonts w:asciiTheme="majorHAnsi" w:hAnsiTheme="majorHAnsi" w:cstheme="majorHAnsi"/>
          <w:sz w:val="18"/>
          <w:szCs w:val="18"/>
        </w:rPr>
        <w:t xml:space="preserve">Within the scope of this article we use a term </w:t>
      </w:r>
      <w:r w:rsidR="006C6262">
        <w:rPr>
          <w:rFonts w:asciiTheme="majorHAnsi" w:hAnsiTheme="majorHAnsi" w:cstheme="majorHAnsi"/>
          <w:sz w:val="18"/>
          <w:szCs w:val="18"/>
        </w:rPr>
        <w:t>‘</w:t>
      </w:r>
      <w:r w:rsidR="00782DA4" w:rsidRPr="00C87D1F">
        <w:rPr>
          <w:rFonts w:asciiTheme="majorHAnsi" w:hAnsiTheme="majorHAnsi" w:cstheme="majorHAnsi"/>
          <w:sz w:val="18"/>
          <w:szCs w:val="18"/>
        </w:rPr>
        <w:t>SME Association</w:t>
      </w:r>
      <w:r w:rsidR="006C6262">
        <w:rPr>
          <w:rFonts w:asciiTheme="majorHAnsi" w:hAnsiTheme="majorHAnsi" w:cstheme="majorHAnsi"/>
          <w:sz w:val="18"/>
          <w:szCs w:val="18"/>
        </w:rPr>
        <w:t>’</w:t>
      </w:r>
      <w:bookmarkStart w:id="2" w:name="_GoBack"/>
      <w:bookmarkEnd w:id="2"/>
      <w:r w:rsidR="00782DA4" w:rsidRPr="00C87D1F">
        <w:rPr>
          <w:rFonts w:asciiTheme="majorHAnsi" w:hAnsiTheme="majorHAnsi" w:cstheme="majorHAnsi"/>
          <w:sz w:val="18"/>
          <w:szCs w:val="18"/>
        </w:rPr>
        <w:t xml:space="preserve"> to refer to different types of organisations that provide a meaningful support, advice, guidance and training services to SME</w:t>
      </w:r>
      <w:r w:rsidR="006B4330">
        <w:rPr>
          <w:rFonts w:asciiTheme="majorHAnsi" w:hAnsiTheme="majorHAnsi" w:cstheme="majorHAnsi"/>
          <w:sz w:val="18"/>
          <w:szCs w:val="18"/>
        </w:rPr>
        <w:t>s</w:t>
      </w:r>
      <w:r w:rsidR="00782DA4" w:rsidRPr="00C87D1F">
        <w:rPr>
          <w:rFonts w:asciiTheme="majorHAnsi" w:hAnsiTheme="majorHAnsi" w:cstheme="majorHAnsi"/>
          <w:sz w:val="18"/>
          <w:szCs w:val="18"/>
        </w:rPr>
        <w:t xml:space="preserve"> on their functioning, ranging from trade and sectoral associations to chambers of commerce. They can be financed through membership fees or through public sources of funding.</w:t>
      </w:r>
    </w:p>
  </w:footnote>
  <w:footnote w:id="57">
    <w:p w14:paraId="17300138" w14:textId="77777777" w:rsidR="008E4791" w:rsidRPr="00C87D1F" w:rsidRDefault="008E4791"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Then followed, guidance provide by EU bodies (Article 29 working party guidance, the European Commission or the EDPB) / a general online search; conference and seminars / Foreign data protection authorities’ websites; training providers / Law firms / Auditors / IAP; peers and networks / books/ Peer reviewed journals /  and finally, national government.</w:t>
      </w:r>
    </w:p>
  </w:footnote>
  <w:footnote w:id="58">
    <w:p w14:paraId="38D3394D" w14:textId="653F163D" w:rsidR="008E4791" w:rsidRPr="00C87D1F" w:rsidRDefault="008E4791"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For example, see a brief note on one of such meetings: </w:t>
      </w:r>
      <w:hyperlink r:id="rId7" w:history="1">
        <w:r w:rsidRPr="00C87D1F">
          <w:rPr>
            <w:rStyle w:val="Hyperlink"/>
            <w:rFonts w:asciiTheme="majorHAnsi" w:hAnsiTheme="majorHAnsi" w:cstheme="majorHAnsi"/>
            <w:sz w:val="18"/>
            <w:szCs w:val="18"/>
          </w:rPr>
          <w:t>https://smeunited.eu/news/gdpr-application-discussed-mandatory-monitoring-body-not-fit-for-smes</w:t>
        </w:r>
      </w:hyperlink>
      <w:r w:rsidRPr="00C87D1F">
        <w:rPr>
          <w:rFonts w:asciiTheme="majorHAnsi" w:hAnsiTheme="majorHAnsi" w:cstheme="majorHAnsi"/>
          <w:sz w:val="18"/>
          <w:szCs w:val="18"/>
        </w:rPr>
        <w:t xml:space="preserve">. </w:t>
      </w:r>
    </w:p>
  </w:footnote>
  <w:footnote w:id="59">
    <w:p w14:paraId="0232161A" w14:textId="56C5F79C" w:rsidR="008E4791" w:rsidRPr="00C87D1F" w:rsidRDefault="008E4791"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An excerpt is taken from the interview with an approval of the interviewee.</w:t>
      </w:r>
    </w:p>
  </w:footnote>
  <w:footnote w:id="60">
    <w:p w14:paraId="0F51D7E8" w14:textId="29948F24" w:rsidR="00134611" w:rsidRPr="00C87D1F" w:rsidRDefault="00134611" w:rsidP="00F70934">
      <w:pPr>
        <w:spacing w:after="0"/>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w:t>
      </w:r>
      <w:r w:rsidR="00B9176B" w:rsidRPr="00C87D1F">
        <w:rPr>
          <w:rFonts w:asciiTheme="majorHAnsi" w:hAnsiTheme="majorHAnsi" w:cstheme="majorHAnsi"/>
          <w:sz w:val="18"/>
          <w:szCs w:val="18"/>
        </w:rPr>
        <w:t>For more information about DPA initiatives see: EDPB, T</w:t>
      </w:r>
      <w:r w:rsidR="00B9176B" w:rsidRPr="00C87D1F">
        <w:rPr>
          <w:rFonts w:asciiTheme="majorHAnsi" w:hAnsiTheme="majorHAnsi" w:cstheme="majorHAnsi"/>
          <w:sz w:val="18"/>
          <w:szCs w:val="18"/>
        </w:rPr>
        <w:t>he evaluation of the GDPR under Article 97</w:t>
      </w:r>
      <w:r w:rsidR="00B9176B" w:rsidRPr="00C87D1F">
        <w:rPr>
          <w:rFonts w:asciiTheme="majorHAnsi" w:hAnsiTheme="majorHAnsi" w:cstheme="majorHAnsi"/>
          <w:sz w:val="18"/>
          <w:szCs w:val="18"/>
        </w:rPr>
        <w:t>,</w:t>
      </w:r>
      <w:r w:rsidR="00B9176B" w:rsidRPr="00C87D1F">
        <w:rPr>
          <w:rFonts w:asciiTheme="majorHAnsi" w:hAnsiTheme="majorHAnsi" w:cstheme="majorHAnsi"/>
          <w:sz w:val="18"/>
          <w:szCs w:val="18"/>
        </w:rPr>
        <w:t xml:space="preserve"> </w:t>
      </w:r>
      <w:r w:rsidR="00B9176B" w:rsidRPr="00C87D1F">
        <w:rPr>
          <w:rFonts w:asciiTheme="majorHAnsi" w:hAnsiTheme="majorHAnsi" w:cstheme="majorHAnsi"/>
          <w:sz w:val="18"/>
          <w:szCs w:val="18"/>
        </w:rPr>
        <w:t>a</w:t>
      </w:r>
      <w:r w:rsidR="00B9176B" w:rsidRPr="00C87D1F">
        <w:rPr>
          <w:rFonts w:asciiTheme="majorHAnsi" w:hAnsiTheme="majorHAnsi" w:cstheme="majorHAnsi"/>
          <w:sz w:val="18"/>
          <w:szCs w:val="18"/>
        </w:rPr>
        <w:t>dopted on 18 February 2020</w:t>
      </w:r>
      <w:r w:rsidR="00B9176B" w:rsidRPr="00C87D1F">
        <w:rPr>
          <w:rFonts w:asciiTheme="majorHAnsi" w:hAnsiTheme="majorHAnsi" w:cstheme="majorHAnsi"/>
          <w:sz w:val="18"/>
          <w:szCs w:val="18"/>
        </w:rPr>
        <w:t xml:space="preserve">, pp. 35-45.  </w:t>
      </w:r>
    </w:p>
  </w:footnote>
  <w:footnote w:id="61">
    <w:p w14:paraId="506EA965" w14:textId="09B2EAF4" w:rsidR="008E4791" w:rsidRPr="00C87D1F" w:rsidRDefault="008E4791"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w:t>
      </w:r>
      <w:r w:rsidR="00B9176B" w:rsidRPr="00C87D1F">
        <w:rPr>
          <w:rFonts w:asciiTheme="majorHAnsi" w:hAnsiTheme="majorHAnsi" w:cstheme="majorHAnsi"/>
          <w:sz w:val="18"/>
          <w:szCs w:val="18"/>
        </w:rPr>
        <w:t>For more information about the project see:</w:t>
      </w:r>
      <w:r w:rsidR="00B9176B" w:rsidRPr="00C87D1F">
        <w:rPr>
          <w:rFonts w:asciiTheme="majorHAnsi" w:hAnsiTheme="majorHAnsi" w:cstheme="majorHAnsi"/>
          <w:sz w:val="18"/>
          <w:szCs w:val="18"/>
        </w:rPr>
        <w:t xml:space="preserve"> </w:t>
      </w:r>
      <w:hyperlink r:id="rId8" w:history="1">
        <w:r w:rsidR="00B9176B" w:rsidRPr="00C87D1F">
          <w:rPr>
            <w:rStyle w:val="Hyperlink"/>
            <w:rFonts w:asciiTheme="majorHAnsi" w:hAnsiTheme="majorHAnsi" w:cstheme="majorHAnsi"/>
            <w:sz w:val="18"/>
            <w:szCs w:val="18"/>
          </w:rPr>
          <w:t>https://www.autoriteprotectiondonnees.be/lautorite-lance-debut-2020-son-projet-boost-pour-les-pme</w:t>
        </w:r>
      </w:hyperlink>
      <w:r w:rsidR="00F70934" w:rsidRPr="00C87D1F">
        <w:rPr>
          <w:rFonts w:asciiTheme="majorHAnsi" w:hAnsiTheme="majorHAnsi" w:cstheme="majorHAnsi"/>
          <w:sz w:val="18"/>
          <w:szCs w:val="18"/>
        </w:rPr>
        <w:t>.</w:t>
      </w:r>
      <w:r w:rsidRPr="00C87D1F">
        <w:rPr>
          <w:rFonts w:asciiTheme="majorHAnsi" w:hAnsiTheme="majorHAnsi" w:cstheme="majorHAnsi"/>
          <w:sz w:val="18"/>
          <w:szCs w:val="18"/>
        </w:rPr>
        <w:t xml:space="preserve"> </w:t>
      </w:r>
    </w:p>
  </w:footnote>
  <w:footnote w:id="62">
    <w:p w14:paraId="406571B7" w14:textId="2730C1F1" w:rsidR="008E4791" w:rsidRPr="00C87D1F" w:rsidRDefault="008E4791"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For more information about the project see: </w:t>
      </w:r>
      <w:hyperlink r:id="rId9" w:history="1">
        <w:r w:rsidRPr="00C87D1F">
          <w:rPr>
            <w:rStyle w:val="Hyperlink"/>
            <w:rFonts w:asciiTheme="majorHAnsi" w:hAnsiTheme="majorHAnsi" w:cstheme="majorHAnsi"/>
            <w:sz w:val="18"/>
            <w:szCs w:val="18"/>
          </w:rPr>
          <w:t>https://smedata.eu/</w:t>
        </w:r>
      </w:hyperlink>
      <w:r w:rsidRPr="00C87D1F">
        <w:rPr>
          <w:rFonts w:asciiTheme="majorHAnsi" w:hAnsiTheme="majorHAnsi" w:cstheme="majorHAnsi"/>
          <w:sz w:val="18"/>
          <w:szCs w:val="18"/>
        </w:rPr>
        <w:t>.</w:t>
      </w:r>
    </w:p>
  </w:footnote>
  <w:footnote w:id="63">
    <w:p w14:paraId="064BB4A8" w14:textId="786A75A9" w:rsidR="008E4791" w:rsidRPr="00C87D1F" w:rsidRDefault="008E4791"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For more information about the project see: </w:t>
      </w:r>
      <w:hyperlink r:id="rId10" w:history="1">
        <w:r w:rsidRPr="00C87D1F">
          <w:rPr>
            <w:rStyle w:val="Hyperlink"/>
            <w:rFonts w:asciiTheme="majorHAnsi" w:hAnsiTheme="majorHAnsi" w:cstheme="majorHAnsi"/>
            <w:sz w:val="18"/>
            <w:szCs w:val="18"/>
          </w:rPr>
          <w:t>https://smoothplatform.eu/</w:t>
        </w:r>
      </w:hyperlink>
      <w:r w:rsidRPr="00C87D1F">
        <w:rPr>
          <w:rFonts w:asciiTheme="majorHAnsi" w:hAnsiTheme="majorHAnsi" w:cstheme="majorHAnsi"/>
          <w:sz w:val="18"/>
          <w:szCs w:val="18"/>
        </w:rPr>
        <w:t>.</w:t>
      </w:r>
    </w:p>
  </w:footnote>
  <w:footnote w:id="64">
    <w:p w14:paraId="10611846" w14:textId="5B961A28" w:rsidR="008E4791" w:rsidRPr="00C87D1F" w:rsidRDefault="008E4791"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STAR II, D4.1 Guidance on hotlines.</w:t>
      </w:r>
    </w:p>
  </w:footnote>
  <w:footnote w:id="65">
    <w:p w14:paraId="27888441" w14:textId="09644F33" w:rsidR="00C6690A" w:rsidRPr="00C87D1F" w:rsidRDefault="00C6690A"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w:t>
      </w:r>
      <w:r w:rsidR="00805AFA" w:rsidRPr="00C87D1F">
        <w:rPr>
          <w:rFonts w:asciiTheme="majorHAnsi" w:hAnsiTheme="majorHAnsi" w:cstheme="majorHAnsi"/>
          <w:sz w:val="18"/>
          <w:szCs w:val="18"/>
        </w:rPr>
        <w:t>During interviews with DPAs,</w:t>
      </w:r>
      <w:r w:rsidRPr="00C87D1F">
        <w:rPr>
          <w:rFonts w:asciiTheme="majorHAnsi" w:hAnsiTheme="majorHAnsi" w:cstheme="majorHAnsi"/>
          <w:sz w:val="18"/>
          <w:szCs w:val="18"/>
        </w:rPr>
        <w:t xml:space="preserve"> some </w:t>
      </w:r>
      <w:r w:rsidR="00805AFA" w:rsidRPr="00C87D1F">
        <w:rPr>
          <w:rFonts w:asciiTheme="majorHAnsi" w:hAnsiTheme="majorHAnsi" w:cstheme="majorHAnsi"/>
          <w:sz w:val="18"/>
          <w:szCs w:val="18"/>
        </w:rPr>
        <w:t>of them</w:t>
      </w:r>
      <w:r w:rsidRPr="00C87D1F">
        <w:rPr>
          <w:rFonts w:asciiTheme="majorHAnsi" w:hAnsiTheme="majorHAnsi" w:cstheme="majorHAnsi"/>
          <w:sz w:val="18"/>
          <w:szCs w:val="18"/>
        </w:rPr>
        <w:t xml:space="preserve"> suggest</w:t>
      </w:r>
      <w:r w:rsidR="00805AFA" w:rsidRPr="00C87D1F">
        <w:rPr>
          <w:rFonts w:asciiTheme="majorHAnsi" w:hAnsiTheme="majorHAnsi" w:cstheme="majorHAnsi"/>
          <w:sz w:val="18"/>
          <w:szCs w:val="18"/>
        </w:rPr>
        <w:t>ed</w:t>
      </w:r>
      <w:r w:rsidRPr="00C87D1F">
        <w:rPr>
          <w:rFonts w:asciiTheme="majorHAnsi" w:hAnsiTheme="majorHAnsi" w:cstheme="majorHAnsi"/>
          <w:sz w:val="18"/>
          <w:szCs w:val="18"/>
        </w:rPr>
        <w:t xml:space="preserve"> that SMEs could learn from practices developed by large organisations</w:t>
      </w:r>
      <w:r w:rsidR="00805AFA" w:rsidRPr="00C87D1F">
        <w:rPr>
          <w:rFonts w:asciiTheme="majorHAnsi" w:hAnsiTheme="majorHAnsi" w:cstheme="majorHAnsi"/>
          <w:sz w:val="18"/>
          <w:szCs w:val="18"/>
        </w:rPr>
        <w:t>; in Ireland some events were organised to encourage such knowledge exchange</w:t>
      </w:r>
      <w:r w:rsidRPr="00C87D1F">
        <w:rPr>
          <w:rFonts w:asciiTheme="majorHAnsi" w:hAnsiTheme="majorHAnsi" w:cstheme="majorHAnsi"/>
          <w:sz w:val="18"/>
          <w:szCs w:val="18"/>
        </w:rPr>
        <w:t xml:space="preserve">.  </w:t>
      </w:r>
    </w:p>
  </w:footnote>
  <w:footnote w:id="66">
    <w:p w14:paraId="7E6BBD77" w14:textId="386D0050" w:rsidR="008E4791" w:rsidRPr="00C87D1F" w:rsidRDefault="008E4791"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This being said, given the limitations our data sample based on interviews and the survey, we believe our findings should not be overinterpreted. </w:t>
      </w:r>
    </w:p>
  </w:footnote>
  <w:footnote w:id="67">
    <w:p w14:paraId="6EDC29A0" w14:textId="12945B81" w:rsidR="008E4791" w:rsidRPr="00C87D1F" w:rsidRDefault="008E4791"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A similar argument has been developed in terms of technology take-up by DPAs in Raab, Charles D. and Szekely, Ivan, Data Protection Authorities and Information Technology (May 5, 2017). Computer Law and Security Review 33 (2017) p. 421–433.</w:t>
      </w:r>
    </w:p>
  </w:footnote>
  <w:footnote w:id="68">
    <w:p w14:paraId="43FEA3E1" w14:textId="5BE5DFAA" w:rsidR="008E4791" w:rsidRPr="00C87D1F" w:rsidRDefault="008E4791"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Barnard-Wills, D. and Wright, D. Authorities’ views on the impact of the data protection framework reform on their co-operation in the EU, D1 PHAEDRA II Project London-Brussels-Warsaw-Castellón, July 2015, </w:t>
      </w:r>
    </w:p>
  </w:footnote>
  <w:footnote w:id="69">
    <w:p w14:paraId="438EEF2E" w14:textId="116E0D6E" w:rsidR="008E4791" w:rsidRPr="00C87D1F" w:rsidRDefault="008E4791" w:rsidP="00F70934">
      <w:pPr>
        <w:pStyle w:val="FootnoteText"/>
        <w:rPr>
          <w:rFonts w:asciiTheme="majorHAnsi" w:hAnsiTheme="majorHAnsi" w:cstheme="majorHAnsi"/>
          <w:sz w:val="18"/>
          <w:szCs w:val="18"/>
        </w:rPr>
      </w:pPr>
      <w:r w:rsidRPr="00C87D1F">
        <w:rPr>
          <w:rStyle w:val="FootnoteReference"/>
          <w:rFonts w:asciiTheme="majorHAnsi" w:hAnsiTheme="majorHAnsi" w:cstheme="majorHAnsi"/>
          <w:sz w:val="18"/>
          <w:szCs w:val="18"/>
        </w:rPr>
        <w:footnoteRef/>
      </w:r>
      <w:r w:rsidRPr="00C87D1F">
        <w:rPr>
          <w:rFonts w:asciiTheme="majorHAnsi" w:hAnsiTheme="majorHAnsi" w:cstheme="majorHAnsi"/>
          <w:sz w:val="18"/>
          <w:szCs w:val="18"/>
        </w:rPr>
        <w:t xml:space="preserve"> Galetta, A., Kloza, D. and De Hert, P. Cooperation among data privacy supervisory authorities by analogy: lessons from parallel European mechanisms, D2.1 PHAEDRA II project, Brussels-London-Warsaw-Castellón, April 2016, 97 pp. [public version]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26D11" w14:textId="54D1A8BE" w:rsidR="008E4791" w:rsidRDefault="00F70934" w:rsidP="00D94655">
    <w:r>
      <w:t>02.04.2020</w:t>
    </w:r>
  </w:p>
  <w:p w14:paraId="5726CCFB" w14:textId="77777777" w:rsidR="008E4791" w:rsidRDefault="008E47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22CC"/>
    <w:multiLevelType w:val="hybridMultilevel"/>
    <w:tmpl w:val="65DE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A7286"/>
    <w:multiLevelType w:val="hybridMultilevel"/>
    <w:tmpl w:val="E50475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650E2"/>
    <w:multiLevelType w:val="hybridMultilevel"/>
    <w:tmpl w:val="D7FEEA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CF1853"/>
    <w:multiLevelType w:val="hybridMultilevel"/>
    <w:tmpl w:val="46F0C9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FC4E45"/>
    <w:multiLevelType w:val="hybridMultilevel"/>
    <w:tmpl w:val="6BB6C5DA"/>
    <w:lvl w:ilvl="0" w:tplc="AB4891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D37503"/>
    <w:multiLevelType w:val="hybridMultilevel"/>
    <w:tmpl w:val="8D1E5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0B739C"/>
    <w:multiLevelType w:val="hybridMultilevel"/>
    <w:tmpl w:val="5AB8D0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313E4A"/>
    <w:multiLevelType w:val="hybridMultilevel"/>
    <w:tmpl w:val="0706B674"/>
    <w:lvl w:ilvl="0" w:tplc="644AFD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EF6D57"/>
    <w:multiLevelType w:val="multilevel"/>
    <w:tmpl w:val="D5CA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D32BB9"/>
    <w:multiLevelType w:val="hybridMultilevel"/>
    <w:tmpl w:val="D6180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3A3AEE"/>
    <w:multiLevelType w:val="hybridMultilevel"/>
    <w:tmpl w:val="E0FCE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2F2848"/>
    <w:multiLevelType w:val="hybridMultilevel"/>
    <w:tmpl w:val="6BB6C5DA"/>
    <w:lvl w:ilvl="0" w:tplc="AB4891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F77B80"/>
    <w:multiLevelType w:val="hybridMultilevel"/>
    <w:tmpl w:val="6BB6C5DA"/>
    <w:lvl w:ilvl="0" w:tplc="AB4891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8"/>
  </w:num>
  <w:num w:numId="4">
    <w:abstractNumId w:val="4"/>
  </w:num>
  <w:num w:numId="5">
    <w:abstractNumId w:val="9"/>
  </w:num>
  <w:num w:numId="6">
    <w:abstractNumId w:val="0"/>
  </w:num>
  <w:num w:numId="7">
    <w:abstractNumId w:val="6"/>
  </w:num>
  <w:num w:numId="8">
    <w:abstractNumId w:val="1"/>
  </w:num>
  <w:num w:numId="9">
    <w:abstractNumId w:val="10"/>
  </w:num>
  <w:num w:numId="10">
    <w:abstractNumId w:val="7"/>
  </w:num>
  <w:num w:numId="11">
    <w:abstractNumId w:val="11"/>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850"/>
    <w:rsid w:val="00000354"/>
    <w:rsid w:val="00001DDE"/>
    <w:rsid w:val="00004FF1"/>
    <w:rsid w:val="00010DC6"/>
    <w:rsid w:val="000175E7"/>
    <w:rsid w:val="0002589A"/>
    <w:rsid w:val="00034B2D"/>
    <w:rsid w:val="00041106"/>
    <w:rsid w:val="000451B0"/>
    <w:rsid w:val="00054DB4"/>
    <w:rsid w:val="0006344B"/>
    <w:rsid w:val="00063491"/>
    <w:rsid w:val="00063BE2"/>
    <w:rsid w:val="00066B51"/>
    <w:rsid w:val="00076D88"/>
    <w:rsid w:val="0008396F"/>
    <w:rsid w:val="0008406E"/>
    <w:rsid w:val="00084667"/>
    <w:rsid w:val="0008551D"/>
    <w:rsid w:val="000858A5"/>
    <w:rsid w:val="0009362C"/>
    <w:rsid w:val="0009723F"/>
    <w:rsid w:val="00097BA8"/>
    <w:rsid w:val="000A489E"/>
    <w:rsid w:val="000B5586"/>
    <w:rsid w:val="000C2072"/>
    <w:rsid w:val="000C4B0F"/>
    <w:rsid w:val="000C7F9E"/>
    <w:rsid w:val="000D0539"/>
    <w:rsid w:val="000D59AC"/>
    <w:rsid w:val="000E104A"/>
    <w:rsid w:val="000E131F"/>
    <w:rsid w:val="000E2B69"/>
    <w:rsid w:val="000E2F1F"/>
    <w:rsid w:val="000E60D2"/>
    <w:rsid w:val="000E6BC8"/>
    <w:rsid w:val="0010141E"/>
    <w:rsid w:val="00104609"/>
    <w:rsid w:val="001059D9"/>
    <w:rsid w:val="001062D6"/>
    <w:rsid w:val="00106362"/>
    <w:rsid w:val="001079BB"/>
    <w:rsid w:val="00110CE1"/>
    <w:rsid w:val="001176DE"/>
    <w:rsid w:val="00125039"/>
    <w:rsid w:val="00126A47"/>
    <w:rsid w:val="001315D7"/>
    <w:rsid w:val="00131E62"/>
    <w:rsid w:val="00134611"/>
    <w:rsid w:val="001435E7"/>
    <w:rsid w:val="00153039"/>
    <w:rsid w:val="00155924"/>
    <w:rsid w:val="00160FEB"/>
    <w:rsid w:val="00162795"/>
    <w:rsid w:val="00164A93"/>
    <w:rsid w:val="00173837"/>
    <w:rsid w:val="00194029"/>
    <w:rsid w:val="00194CB4"/>
    <w:rsid w:val="001A0847"/>
    <w:rsid w:val="001A60E4"/>
    <w:rsid w:val="001A7D6A"/>
    <w:rsid w:val="001B1398"/>
    <w:rsid w:val="001B6AA8"/>
    <w:rsid w:val="001C2AB5"/>
    <w:rsid w:val="001C31FD"/>
    <w:rsid w:val="001C5C51"/>
    <w:rsid w:val="001D0FD2"/>
    <w:rsid w:val="001D22E8"/>
    <w:rsid w:val="001D50E8"/>
    <w:rsid w:val="001E4DFB"/>
    <w:rsid w:val="001E4E8E"/>
    <w:rsid w:val="001E6F01"/>
    <w:rsid w:val="001E7931"/>
    <w:rsid w:val="001F262E"/>
    <w:rsid w:val="001F56A0"/>
    <w:rsid w:val="00200C12"/>
    <w:rsid w:val="00212005"/>
    <w:rsid w:val="00212949"/>
    <w:rsid w:val="00217503"/>
    <w:rsid w:val="00221013"/>
    <w:rsid w:val="00222ADF"/>
    <w:rsid w:val="0022312C"/>
    <w:rsid w:val="002275F6"/>
    <w:rsid w:val="002308C8"/>
    <w:rsid w:val="00232465"/>
    <w:rsid w:val="0023617D"/>
    <w:rsid w:val="002445B7"/>
    <w:rsid w:val="002470DD"/>
    <w:rsid w:val="002513C9"/>
    <w:rsid w:val="00261162"/>
    <w:rsid w:val="0026441F"/>
    <w:rsid w:val="0026749A"/>
    <w:rsid w:val="00273927"/>
    <w:rsid w:val="00275CCF"/>
    <w:rsid w:val="00281D63"/>
    <w:rsid w:val="00294A67"/>
    <w:rsid w:val="00297BA9"/>
    <w:rsid w:val="002A02D8"/>
    <w:rsid w:val="002A055A"/>
    <w:rsid w:val="002A37F7"/>
    <w:rsid w:val="002C33E7"/>
    <w:rsid w:val="002C3FFE"/>
    <w:rsid w:val="002C4783"/>
    <w:rsid w:val="002C7A5C"/>
    <w:rsid w:val="002D0B9F"/>
    <w:rsid w:val="002D48A4"/>
    <w:rsid w:val="002E2A6F"/>
    <w:rsid w:val="002E79BD"/>
    <w:rsid w:val="002F192A"/>
    <w:rsid w:val="00300AC0"/>
    <w:rsid w:val="00300EF6"/>
    <w:rsid w:val="00303004"/>
    <w:rsid w:val="0033351B"/>
    <w:rsid w:val="0033546C"/>
    <w:rsid w:val="003355C8"/>
    <w:rsid w:val="00336B99"/>
    <w:rsid w:val="00337CCB"/>
    <w:rsid w:val="0035646D"/>
    <w:rsid w:val="003600B2"/>
    <w:rsid w:val="00361BAE"/>
    <w:rsid w:val="00364AF1"/>
    <w:rsid w:val="00374134"/>
    <w:rsid w:val="00381D0D"/>
    <w:rsid w:val="003851B3"/>
    <w:rsid w:val="0039352E"/>
    <w:rsid w:val="003A2446"/>
    <w:rsid w:val="003B2A16"/>
    <w:rsid w:val="003B4F6B"/>
    <w:rsid w:val="003B6EEE"/>
    <w:rsid w:val="003C5B13"/>
    <w:rsid w:val="003C7D25"/>
    <w:rsid w:val="003D109C"/>
    <w:rsid w:val="003D171F"/>
    <w:rsid w:val="003D52EE"/>
    <w:rsid w:val="003D6211"/>
    <w:rsid w:val="003E24B4"/>
    <w:rsid w:val="003E3A77"/>
    <w:rsid w:val="003E6720"/>
    <w:rsid w:val="003E7339"/>
    <w:rsid w:val="003E73E4"/>
    <w:rsid w:val="003F2426"/>
    <w:rsid w:val="003F57C9"/>
    <w:rsid w:val="003F5B87"/>
    <w:rsid w:val="003F63EB"/>
    <w:rsid w:val="003F703F"/>
    <w:rsid w:val="003F7558"/>
    <w:rsid w:val="00400059"/>
    <w:rsid w:val="004016BF"/>
    <w:rsid w:val="00403B35"/>
    <w:rsid w:val="00405ED3"/>
    <w:rsid w:val="004134C0"/>
    <w:rsid w:val="00423EC4"/>
    <w:rsid w:val="0043007C"/>
    <w:rsid w:val="0043354D"/>
    <w:rsid w:val="00436938"/>
    <w:rsid w:val="00441C77"/>
    <w:rsid w:val="00442B57"/>
    <w:rsid w:val="00453B95"/>
    <w:rsid w:val="00457223"/>
    <w:rsid w:val="00457C90"/>
    <w:rsid w:val="00463509"/>
    <w:rsid w:val="0046636A"/>
    <w:rsid w:val="00466969"/>
    <w:rsid w:val="00471C6F"/>
    <w:rsid w:val="0047235E"/>
    <w:rsid w:val="00486ABC"/>
    <w:rsid w:val="00493220"/>
    <w:rsid w:val="00493469"/>
    <w:rsid w:val="004B1D08"/>
    <w:rsid w:val="004B6779"/>
    <w:rsid w:val="004C000F"/>
    <w:rsid w:val="004C09B6"/>
    <w:rsid w:val="004C0BD1"/>
    <w:rsid w:val="004C6E03"/>
    <w:rsid w:val="004C7945"/>
    <w:rsid w:val="004D16D1"/>
    <w:rsid w:val="004D5444"/>
    <w:rsid w:val="004E31B7"/>
    <w:rsid w:val="004E3A51"/>
    <w:rsid w:val="004E4876"/>
    <w:rsid w:val="004E78DF"/>
    <w:rsid w:val="004F202B"/>
    <w:rsid w:val="004F2424"/>
    <w:rsid w:val="004F4662"/>
    <w:rsid w:val="004F5E0D"/>
    <w:rsid w:val="004F7F11"/>
    <w:rsid w:val="004F7FB0"/>
    <w:rsid w:val="0050005A"/>
    <w:rsid w:val="00502E13"/>
    <w:rsid w:val="00510197"/>
    <w:rsid w:val="00511A60"/>
    <w:rsid w:val="00514956"/>
    <w:rsid w:val="00514F12"/>
    <w:rsid w:val="00524B69"/>
    <w:rsid w:val="00533021"/>
    <w:rsid w:val="00533903"/>
    <w:rsid w:val="00533ADD"/>
    <w:rsid w:val="00533D3D"/>
    <w:rsid w:val="0053605A"/>
    <w:rsid w:val="00536170"/>
    <w:rsid w:val="00542737"/>
    <w:rsid w:val="0054491C"/>
    <w:rsid w:val="00561D7F"/>
    <w:rsid w:val="00561DBD"/>
    <w:rsid w:val="00566D16"/>
    <w:rsid w:val="00571551"/>
    <w:rsid w:val="005819B2"/>
    <w:rsid w:val="005841D0"/>
    <w:rsid w:val="0058653D"/>
    <w:rsid w:val="005930BE"/>
    <w:rsid w:val="00594F3C"/>
    <w:rsid w:val="00595B44"/>
    <w:rsid w:val="005965C9"/>
    <w:rsid w:val="005A563E"/>
    <w:rsid w:val="005A771F"/>
    <w:rsid w:val="005B0B81"/>
    <w:rsid w:val="005B7BEE"/>
    <w:rsid w:val="005C7D2B"/>
    <w:rsid w:val="005D3D58"/>
    <w:rsid w:val="005D6158"/>
    <w:rsid w:val="005F34EF"/>
    <w:rsid w:val="005F6E65"/>
    <w:rsid w:val="005F77ED"/>
    <w:rsid w:val="005F7F89"/>
    <w:rsid w:val="006017EC"/>
    <w:rsid w:val="00602479"/>
    <w:rsid w:val="00606687"/>
    <w:rsid w:val="00610BEC"/>
    <w:rsid w:val="00626AD4"/>
    <w:rsid w:val="00632D19"/>
    <w:rsid w:val="00634810"/>
    <w:rsid w:val="00636017"/>
    <w:rsid w:val="00641441"/>
    <w:rsid w:val="0064587A"/>
    <w:rsid w:val="00651084"/>
    <w:rsid w:val="00651308"/>
    <w:rsid w:val="006515D9"/>
    <w:rsid w:val="006569D6"/>
    <w:rsid w:val="00657079"/>
    <w:rsid w:val="00657B1D"/>
    <w:rsid w:val="00660611"/>
    <w:rsid w:val="0066158C"/>
    <w:rsid w:val="0067410B"/>
    <w:rsid w:val="00676121"/>
    <w:rsid w:val="00681A04"/>
    <w:rsid w:val="0068412A"/>
    <w:rsid w:val="00684E4E"/>
    <w:rsid w:val="00685B41"/>
    <w:rsid w:val="0069232D"/>
    <w:rsid w:val="00693500"/>
    <w:rsid w:val="006946FF"/>
    <w:rsid w:val="00697291"/>
    <w:rsid w:val="00697CAE"/>
    <w:rsid w:val="00697EBE"/>
    <w:rsid w:val="006A1294"/>
    <w:rsid w:val="006A380D"/>
    <w:rsid w:val="006B4330"/>
    <w:rsid w:val="006B7A0B"/>
    <w:rsid w:val="006B7F38"/>
    <w:rsid w:val="006C2A31"/>
    <w:rsid w:val="006C31BC"/>
    <w:rsid w:val="006C5400"/>
    <w:rsid w:val="006C6262"/>
    <w:rsid w:val="006D4691"/>
    <w:rsid w:val="006D56A9"/>
    <w:rsid w:val="006D7A86"/>
    <w:rsid w:val="006D7A8D"/>
    <w:rsid w:val="006D7B47"/>
    <w:rsid w:val="006E112B"/>
    <w:rsid w:val="006E17BF"/>
    <w:rsid w:val="006E509D"/>
    <w:rsid w:val="006F03DA"/>
    <w:rsid w:val="00701CC7"/>
    <w:rsid w:val="00704AE7"/>
    <w:rsid w:val="00705DB7"/>
    <w:rsid w:val="007073F1"/>
    <w:rsid w:val="00720D1F"/>
    <w:rsid w:val="0072155D"/>
    <w:rsid w:val="00721648"/>
    <w:rsid w:val="00732415"/>
    <w:rsid w:val="00737EFF"/>
    <w:rsid w:val="00746C95"/>
    <w:rsid w:val="00747A87"/>
    <w:rsid w:val="00750163"/>
    <w:rsid w:val="00751039"/>
    <w:rsid w:val="00752A33"/>
    <w:rsid w:val="00754619"/>
    <w:rsid w:val="007549C7"/>
    <w:rsid w:val="00755913"/>
    <w:rsid w:val="00762EB3"/>
    <w:rsid w:val="00763540"/>
    <w:rsid w:val="0076498B"/>
    <w:rsid w:val="00764A3C"/>
    <w:rsid w:val="007652DE"/>
    <w:rsid w:val="007658DE"/>
    <w:rsid w:val="00766771"/>
    <w:rsid w:val="00770E2E"/>
    <w:rsid w:val="00774584"/>
    <w:rsid w:val="00782DA4"/>
    <w:rsid w:val="007A00FA"/>
    <w:rsid w:val="007A2B40"/>
    <w:rsid w:val="007A492B"/>
    <w:rsid w:val="007A4A8E"/>
    <w:rsid w:val="007A56E0"/>
    <w:rsid w:val="007C31AC"/>
    <w:rsid w:val="007C33AE"/>
    <w:rsid w:val="007D09A2"/>
    <w:rsid w:val="007D4B29"/>
    <w:rsid w:val="007E153C"/>
    <w:rsid w:val="007E5F74"/>
    <w:rsid w:val="007E7031"/>
    <w:rsid w:val="007F4363"/>
    <w:rsid w:val="007F7D28"/>
    <w:rsid w:val="00804936"/>
    <w:rsid w:val="00805AFA"/>
    <w:rsid w:val="0081071F"/>
    <w:rsid w:val="008120A4"/>
    <w:rsid w:val="00817086"/>
    <w:rsid w:val="00817245"/>
    <w:rsid w:val="00824674"/>
    <w:rsid w:val="008314ED"/>
    <w:rsid w:val="008329D7"/>
    <w:rsid w:val="0083447C"/>
    <w:rsid w:val="00835C46"/>
    <w:rsid w:val="00844036"/>
    <w:rsid w:val="008538A5"/>
    <w:rsid w:val="00860744"/>
    <w:rsid w:val="00862F99"/>
    <w:rsid w:val="008675EE"/>
    <w:rsid w:val="00870C97"/>
    <w:rsid w:val="008728FA"/>
    <w:rsid w:val="00876448"/>
    <w:rsid w:val="00876705"/>
    <w:rsid w:val="00883C64"/>
    <w:rsid w:val="00883D00"/>
    <w:rsid w:val="00884683"/>
    <w:rsid w:val="008914C7"/>
    <w:rsid w:val="008937D6"/>
    <w:rsid w:val="00893F48"/>
    <w:rsid w:val="008960A5"/>
    <w:rsid w:val="00897312"/>
    <w:rsid w:val="008A20D6"/>
    <w:rsid w:val="008A2845"/>
    <w:rsid w:val="008A591C"/>
    <w:rsid w:val="008B10A1"/>
    <w:rsid w:val="008B1A99"/>
    <w:rsid w:val="008B2E31"/>
    <w:rsid w:val="008B4BBD"/>
    <w:rsid w:val="008B50DA"/>
    <w:rsid w:val="008D4252"/>
    <w:rsid w:val="008D68BF"/>
    <w:rsid w:val="008E4791"/>
    <w:rsid w:val="008E49FB"/>
    <w:rsid w:val="008E4BB3"/>
    <w:rsid w:val="008E58A4"/>
    <w:rsid w:val="008F0774"/>
    <w:rsid w:val="008F73FA"/>
    <w:rsid w:val="008F7616"/>
    <w:rsid w:val="0090120F"/>
    <w:rsid w:val="00901F7E"/>
    <w:rsid w:val="00902EAE"/>
    <w:rsid w:val="0090703F"/>
    <w:rsid w:val="0091567B"/>
    <w:rsid w:val="00921B0D"/>
    <w:rsid w:val="009441F5"/>
    <w:rsid w:val="009462E0"/>
    <w:rsid w:val="00947FE6"/>
    <w:rsid w:val="0095065D"/>
    <w:rsid w:val="009511E4"/>
    <w:rsid w:val="00951453"/>
    <w:rsid w:val="00952A1B"/>
    <w:rsid w:val="0095319C"/>
    <w:rsid w:val="0095675B"/>
    <w:rsid w:val="009574B0"/>
    <w:rsid w:val="00964214"/>
    <w:rsid w:val="009655EB"/>
    <w:rsid w:val="0097653B"/>
    <w:rsid w:val="00991F3F"/>
    <w:rsid w:val="00994A80"/>
    <w:rsid w:val="00994BE0"/>
    <w:rsid w:val="00997C00"/>
    <w:rsid w:val="009A406D"/>
    <w:rsid w:val="009B03A9"/>
    <w:rsid w:val="009B4365"/>
    <w:rsid w:val="009B4A1F"/>
    <w:rsid w:val="009B53F2"/>
    <w:rsid w:val="009C50DA"/>
    <w:rsid w:val="009C64F9"/>
    <w:rsid w:val="009D1B44"/>
    <w:rsid w:val="009D6753"/>
    <w:rsid w:val="009D792D"/>
    <w:rsid w:val="009E56BB"/>
    <w:rsid w:val="009E583C"/>
    <w:rsid w:val="009F0470"/>
    <w:rsid w:val="00A03056"/>
    <w:rsid w:val="00A044EC"/>
    <w:rsid w:val="00A101C7"/>
    <w:rsid w:val="00A1079A"/>
    <w:rsid w:val="00A14FD7"/>
    <w:rsid w:val="00A31DE1"/>
    <w:rsid w:val="00A42108"/>
    <w:rsid w:val="00A426C5"/>
    <w:rsid w:val="00A42D2C"/>
    <w:rsid w:val="00A44BFF"/>
    <w:rsid w:val="00A47BE5"/>
    <w:rsid w:val="00A51196"/>
    <w:rsid w:val="00A54206"/>
    <w:rsid w:val="00A57325"/>
    <w:rsid w:val="00A634C1"/>
    <w:rsid w:val="00A66F7F"/>
    <w:rsid w:val="00A67523"/>
    <w:rsid w:val="00A74540"/>
    <w:rsid w:val="00A74DA9"/>
    <w:rsid w:val="00A913FF"/>
    <w:rsid w:val="00A951A3"/>
    <w:rsid w:val="00A97290"/>
    <w:rsid w:val="00AA0F98"/>
    <w:rsid w:val="00AA2023"/>
    <w:rsid w:val="00AA5586"/>
    <w:rsid w:val="00AA6005"/>
    <w:rsid w:val="00AB62CB"/>
    <w:rsid w:val="00AB62D7"/>
    <w:rsid w:val="00AC06A0"/>
    <w:rsid w:val="00AD1411"/>
    <w:rsid w:val="00AD21DE"/>
    <w:rsid w:val="00AD5A96"/>
    <w:rsid w:val="00AE42B9"/>
    <w:rsid w:val="00AE5CD3"/>
    <w:rsid w:val="00AE66FC"/>
    <w:rsid w:val="00AF0099"/>
    <w:rsid w:val="00AF6750"/>
    <w:rsid w:val="00B04869"/>
    <w:rsid w:val="00B05E16"/>
    <w:rsid w:val="00B1188D"/>
    <w:rsid w:val="00B12CD2"/>
    <w:rsid w:val="00B1383B"/>
    <w:rsid w:val="00B15BF0"/>
    <w:rsid w:val="00B20273"/>
    <w:rsid w:val="00B20850"/>
    <w:rsid w:val="00B2481F"/>
    <w:rsid w:val="00B2564D"/>
    <w:rsid w:val="00B26730"/>
    <w:rsid w:val="00B2748C"/>
    <w:rsid w:val="00B3137D"/>
    <w:rsid w:val="00B34CEA"/>
    <w:rsid w:val="00B362B3"/>
    <w:rsid w:val="00B37F15"/>
    <w:rsid w:val="00B405F9"/>
    <w:rsid w:val="00B41C11"/>
    <w:rsid w:val="00B43DB9"/>
    <w:rsid w:val="00B46436"/>
    <w:rsid w:val="00B50C0A"/>
    <w:rsid w:val="00B615B6"/>
    <w:rsid w:val="00B61B5A"/>
    <w:rsid w:val="00B76378"/>
    <w:rsid w:val="00B774D4"/>
    <w:rsid w:val="00B872C2"/>
    <w:rsid w:val="00B873C6"/>
    <w:rsid w:val="00B9176B"/>
    <w:rsid w:val="00BA1523"/>
    <w:rsid w:val="00BA2BD9"/>
    <w:rsid w:val="00BA4E98"/>
    <w:rsid w:val="00BB1E54"/>
    <w:rsid w:val="00BB23FA"/>
    <w:rsid w:val="00BB4394"/>
    <w:rsid w:val="00BC7601"/>
    <w:rsid w:val="00BE4E5E"/>
    <w:rsid w:val="00BE7A03"/>
    <w:rsid w:val="00BF162C"/>
    <w:rsid w:val="00BF2046"/>
    <w:rsid w:val="00C04403"/>
    <w:rsid w:val="00C0780C"/>
    <w:rsid w:val="00C0793C"/>
    <w:rsid w:val="00C10C96"/>
    <w:rsid w:val="00C174BD"/>
    <w:rsid w:val="00C2590B"/>
    <w:rsid w:val="00C26D05"/>
    <w:rsid w:val="00C34F4B"/>
    <w:rsid w:val="00C361C7"/>
    <w:rsid w:val="00C376DE"/>
    <w:rsid w:val="00C44D12"/>
    <w:rsid w:val="00C5220F"/>
    <w:rsid w:val="00C527FB"/>
    <w:rsid w:val="00C52BBF"/>
    <w:rsid w:val="00C546D6"/>
    <w:rsid w:val="00C568D2"/>
    <w:rsid w:val="00C62D00"/>
    <w:rsid w:val="00C630BB"/>
    <w:rsid w:val="00C65339"/>
    <w:rsid w:val="00C65D3F"/>
    <w:rsid w:val="00C6690A"/>
    <w:rsid w:val="00C75A2C"/>
    <w:rsid w:val="00C822C1"/>
    <w:rsid w:val="00C87D1F"/>
    <w:rsid w:val="00C950B1"/>
    <w:rsid w:val="00C96986"/>
    <w:rsid w:val="00CA0469"/>
    <w:rsid w:val="00CA1249"/>
    <w:rsid w:val="00CA2566"/>
    <w:rsid w:val="00CA3E36"/>
    <w:rsid w:val="00CB07A9"/>
    <w:rsid w:val="00CB70FC"/>
    <w:rsid w:val="00CC7A52"/>
    <w:rsid w:val="00CD6FDA"/>
    <w:rsid w:val="00CE301D"/>
    <w:rsid w:val="00CE68E6"/>
    <w:rsid w:val="00CE7FC1"/>
    <w:rsid w:val="00CF2BBE"/>
    <w:rsid w:val="00D01C84"/>
    <w:rsid w:val="00D06007"/>
    <w:rsid w:val="00D1099B"/>
    <w:rsid w:val="00D123EA"/>
    <w:rsid w:val="00D13050"/>
    <w:rsid w:val="00D1717B"/>
    <w:rsid w:val="00D17188"/>
    <w:rsid w:val="00D22902"/>
    <w:rsid w:val="00D305B4"/>
    <w:rsid w:val="00D32E35"/>
    <w:rsid w:val="00D33AB6"/>
    <w:rsid w:val="00D40B1A"/>
    <w:rsid w:val="00D556FF"/>
    <w:rsid w:val="00D5632C"/>
    <w:rsid w:val="00D61340"/>
    <w:rsid w:val="00D669A9"/>
    <w:rsid w:val="00D73B9E"/>
    <w:rsid w:val="00D76C4E"/>
    <w:rsid w:val="00D94655"/>
    <w:rsid w:val="00DA358F"/>
    <w:rsid w:val="00DA469A"/>
    <w:rsid w:val="00DA4A45"/>
    <w:rsid w:val="00DA4A9C"/>
    <w:rsid w:val="00DA63E3"/>
    <w:rsid w:val="00DB4DCB"/>
    <w:rsid w:val="00DB7998"/>
    <w:rsid w:val="00DC1A5D"/>
    <w:rsid w:val="00DC20EE"/>
    <w:rsid w:val="00DD0156"/>
    <w:rsid w:val="00DE2839"/>
    <w:rsid w:val="00DE31FE"/>
    <w:rsid w:val="00DE37A3"/>
    <w:rsid w:val="00DE4C21"/>
    <w:rsid w:val="00DE555F"/>
    <w:rsid w:val="00DE6FC5"/>
    <w:rsid w:val="00DF128F"/>
    <w:rsid w:val="00E038F5"/>
    <w:rsid w:val="00E051E1"/>
    <w:rsid w:val="00E17097"/>
    <w:rsid w:val="00E17F97"/>
    <w:rsid w:val="00E201B9"/>
    <w:rsid w:val="00E24534"/>
    <w:rsid w:val="00E3263A"/>
    <w:rsid w:val="00E32B84"/>
    <w:rsid w:val="00E33F29"/>
    <w:rsid w:val="00E34D16"/>
    <w:rsid w:val="00E37C0E"/>
    <w:rsid w:val="00E455E5"/>
    <w:rsid w:val="00E467FC"/>
    <w:rsid w:val="00E5172C"/>
    <w:rsid w:val="00E52D6B"/>
    <w:rsid w:val="00E53DFA"/>
    <w:rsid w:val="00E55D40"/>
    <w:rsid w:val="00E677FF"/>
    <w:rsid w:val="00E80D3F"/>
    <w:rsid w:val="00E81138"/>
    <w:rsid w:val="00E82779"/>
    <w:rsid w:val="00E8537E"/>
    <w:rsid w:val="00E85797"/>
    <w:rsid w:val="00EA3CEC"/>
    <w:rsid w:val="00EB0736"/>
    <w:rsid w:val="00EB1964"/>
    <w:rsid w:val="00EB4359"/>
    <w:rsid w:val="00EB5B1C"/>
    <w:rsid w:val="00EC2659"/>
    <w:rsid w:val="00EC331E"/>
    <w:rsid w:val="00EC5FF0"/>
    <w:rsid w:val="00EC6411"/>
    <w:rsid w:val="00ED15DB"/>
    <w:rsid w:val="00ED206D"/>
    <w:rsid w:val="00ED35AD"/>
    <w:rsid w:val="00ED4FD0"/>
    <w:rsid w:val="00ED58E2"/>
    <w:rsid w:val="00ED6EE4"/>
    <w:rsid w:val="00EE368B"/>
    <w:rsid w:val="00EE3EF9"/>
    <w:rsid w:val="00EE6487"/>
    <w:rsid w:val="00EE70A4"/>
    <w:rsid w:val="00EE78C7"/>
    <w:rsid w:val="00EF3BDB"/>
    <w:rsid w:val="00EF6AD5"/>
    <w:rsid w:val="00F0055E"/>
    <w:rsid w:val="00F0647B"/>
    <w:rsid w:val="00F07E7C"/>
    <w:rsid w:val="00F1700A"/>
    <w:rsid w:val="00F22B8A"/>
    <w:rsid w:val="00F339E9"/>
    <w:rsid w:val="00F35046"/>
    <w:rsid w:val="00F35884"/>
    <w:rsid w:val="00F35BDF"/>
    <w:rsid w:val="00F37763"/>
    <w:rsid w:val="00F4218C"/>
    <w:rsid w:val="00F4240D"/>
    <w:rsid w:val="00F4567C"/>
    <w:rsid w:val="00F46C8A"/>
    <w:rsid w:val="00F5155F"/>
    <w:rsid w:val="00F518E0"/>
    <w:rsid w:val="00F519BD"/>
    <w:rsid w:val="00F52A9B"/>
    <w:rsid w:val="00F604CB"/>
    <w:rsid w:val="00F66295"/>
    <w:rsid w:val="00F70934"/>
    <w:rsid w:val="00F726A5"/>
    <w:rsid w:val="00F7641E"/>
    <w:rsid w:val="00F77261"/>
    <w:rsid w:val="00F802E1"/>
    <w:rsid w:val="00F83D82"/>
    <w:rsid w:val="00F8741C"/>
    <w:rsid w:val="00F90316"/>
    <w:rsid w:val="00F93CD5"/>
    <w:rsid w:val="00F9511C"/>
    <w:rsid w:val="00FA528B"/>
    <w:rsid w:val="00FB00E4"/>
    <w:rsid w:val="00FB3EA2"/>
    <w:rsid w:val="00FC2178"/>
    <w:rsid w:val="00FC6A61"/>
    <w:rsid w:val="00FD484B"/>
    <w:rsid w:val="00FD77BA"/>
    <w:rsid w:val="00FE051C"/>
    <w:rsid w:val="00FE2CC9"/>
    <w:rsid w:val="00FE610F"/>
    <w:rsid w:val="00FF3008"/>
    <w:rsid w:val="00FF4E58"/>
    <w:rsid w:val="00FF5D36"/>
    <w:rsid w:val="32B44E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C05B9"/>
  <w15:chartTrackingRefBased/>
  <w15:docId w15:val="{FCAD3F12-6F50-46BB-B622-C91AE216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06687"/>
    <w:pPr>
      <w:spacing w:line="240" w:lineRule="auto"/>
      <w:jc w:val="both"/>
    </w:pPr>
  </w:style>
  <w:style w:type="paragraph" w:styleId="Heading2">
    <w:name w:val="heading 2"/>
    <w:basedOn w:val="Normal"/>
    <w:link w:val="Heading2Char"/>
    <w:uiPriority w:val="9"/>
    <w:qFormat/>
    <w:rsid w:val="000E104A"/>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20850"/>
  </w:style>
  <w:style w:type="paragraph" w:styleId="ListParagraph">
    <w:name w:val="List Paragraph"/>
    <w:basedOn w:val="Normal"/>
    <w:uiPriority w:val="34"/>
    <w:qFormat/>
    <w:rsid w:val="00B20850"/>
    <w:pPr>
      <w:ind w:left="720"/>
      <w:contextualSpacing/>
    </w:pPr>
  </w:style>
  <w:style w:type="character" w:customStyle="1" w:styleId="Style1Char">
    <w:name w:val="Style1 Char"/>
    <w:basedOn w:val="DefaultParagraphFont"/>
    <w:link w:val="Style1"/>
    <w:rsid w:val="00B20850"/>
  </w:style>
  <w:style w:type="character" w:styleId="Hyperlink">
    <w:name w:val="Hyperlink"/>
    <w:basedOn w:val="DefaultParagraphFont"/>
    <w:uiPriority w:val="99"/>
    <w:unhideWhenUsed/>
    <w:rsid w:val="00294A67"/>
    <w:rPr>
      <w:color w:val="0563C1" w:themeColor="hyperlink"/>
      <w:u w:val="single"/>
    </w:rPr>
  </w:style>
  <w:style w:type="character" w:styleId="FollowedHyperlink">
    <w:name w:val="FollowedHyperlink"/>
    <w:basedOn w:val="DefaultParagraphFont"/>
    <w:uiPriority w:val="99"/>
    <w:semiHidden/>
    <w:unhideWhenUsed/>
    <w:rsid w:val="00221013"/>
    <w:rPr>
      <w:color w:val="954F72" w:themeColor="followedHyperlink"/>
      <w:u w:val="single"/>
    </w:rPr>
  </w:style>
  <w:style w:type="paragraph" w:styleId="FootnoteText">
    <w:name w:val="footnote text"/>
    <w:aliases w:val="PBO-Footnote Text,ftx,Schriftart: 9 pt,Schriftart: 10 pt,Schriftart: 8 pt,Voetnoottekst Char,Footnote Text Char1 Char,Footnote Text Char Char Char,Footnote Text Char1 Char Char Char,Footnote Text Char Char Char Char Char"/>
    <w:basedOn w:val="Normal"/>
    <w:link w:val="FootnoteTextChar"/>
    <w:uiPriority w:val="99"/>
    <w:semiHidden/>
    <w:unhideWhenUsed/>
    <w:qFormat/>
    <w:rsid w:val="00542737"/>
    <w:pPr>
      <w:spacing w:after="0"/>
    </w:pPr>
    <w:rPr>
      <w:sz w:val="20"/>
      <w:szCs w:val="20"/>
    </w:rPr>
  </w:style>
  <w:style w:type="character" w:customStyle="1" w:styleId="FootnoteTextChar">
    <w:name w:val="Footnote Text Char"/>
    <w:aliases w:val="PBO-Footnote Text Char,ftx Char,Schriftart: 9 pt Char,Schriftart: 10 pt Char,Schriftart: 8 pt Char,Voetnoottekst Char Char,Footnote Text Char1 Char Char,Footnote Text Char Char Char Char,Footnote Text Char1 Char Char Char Char"/>
    <w:basedOn w:val="DefaultParagraphFont"/>
    <w:link w:val="FootnoteText"/>
    <w:uiPriority w:val="99"/>
    <w:semiHidden/>
    <w:rsid w:val="00542737"/>
    <w:rPr>
      <w:sz w:val="20"/>
      <w:szCs w:val="20"/>
    </w:rPr>
  </w:style>
  <w:style w:type="character" w:styleId="FootnoteReference">
    <w:name w:val="footnote reference"/>
    <w:aliases w:val="PBO Footnote Reference,Appel note de bas de p,FR + (Complex) Arial,(Latin) 9 pt,(Complex) 10 pt + (Compl...,(Complex) 9 pt + (Compl...,footnote ref,FR,Footnote symbol,PBO Footnote text,PBO Footnote Text"/>
    <w:basedOn w:val="DefaultParagraphFont"/>
    <w:uiPriority w:val="99"/>
    <w:semiHidden/>
    <w:unhideWhenUsed/>
    <w:qFormat/>
    <w:rsid w:val="00542737"/>
    <w:rPr>
      <w:vertAlign w:val="superscript"/>
    </w:rPr>
  </w:style>
  <w:style w:type="character" w:customStyle="1" w:styleId="tlid-translation">
    <w:name w:val="tlid-translation"/>
    <w:basedOn w:val="DefaultParagraphFont"/>
    <w:rsid w:val="009655EB"/>
  </w:style>
  <w:style w:type="paragraph" w:styleId="Header">
    <w:name w:val="header"/>
    <w:basedOn w:val="Normal"/>
    <w:link w:val="HeaderChar"/>
    <w:uiPriority w:val="99"/>
    <w:unhideWhenUsed/>
    <w:rsid w:val="008B50DA"/>
    <w:pPr>
      <w:tabs>
        <w:tab w:val="center" w:pos="4513"/>
        <w:tab w:val="right" w:pos="9026"/>
      </w:tabs>
      <w:spacing w:after="0"/>
    </w:pPr>
  </w:style>
  <w:style w:type="character" w:customStyle="1" w:styleId="HeaderChar">
    <w:name w:val="Header Char"/>
    <w:basedOn w:val="DefaultParagraphFont"/>
    <w:link w:val="Header"/>
    <w:uiPriority w:val="99"/>
    <w:rsid w:val="008B50DA"/>
  </w:style>
  <w:style w:type="paragraph" w:styleId="Footer">
    <w:name w:val="footer"/>
    <w:basedOn w:val="Normal"/>
    <w:link w:val="FooterChar"/>
    <w:uiPriority w:val="99"/>
    <w:unhideWhenUsed/>
    <w:rsid w:val="008B50DA"/>
    <w:pPr>
      <w:tabs>
        <w:tab w:val="center" w:pos="4513"/>
        <w:tab w:val="right" w:pos="9026"/>
      </w:tabs>
      <w:spacing w:after="0"/>
    </w:pPr>
  </w:style>
  <w:style w:type="character" w:customStyle="1" w:styleId="FooterChar">
    <w:name w:val="Footer Char"/>
    <w:basedOn w:val="DefaultParagraphFont"/>
    <w:link w:val="Footer"/>
    <w:uiPriority w:val="99"/>
    <w:rsid w:val="008B50DA"/>
  </w:style>
  <w:style w:type="character" w:styleId="CommentReference">
    <w:name w:val="annotation reference"/>
    <w:basedOn w:val="DefaultParagraphFont"/>
    <w:uiPriority w:val="99"/>
    <w:semiHidden/>
    <w:unhideWhenUsed/>
    <w:rsid w:val="00B3137D"/>
    <w:rPr>
      <w:sz w:val="16"/>
      <w:szCs w:val="16"/>
    </w:rPr>
  </w:style>
  <w:style w:type="paragraph" w:styleId="CommentText">
    <w:name w:val="annotation text"/>
    <w:basedOn w:val="Normal"/>
    <w:link w:val="CommentTextChar"/>
    <w:uiPriority w:val="99"/>
    <w:semiHidden/>
    <w:unhideWhenUsed/>
    <w:rsid w:val="00B3137D"/>
    <w:rPr>
      <w:sz w:val="20"/>
      <w:szCs w:val="20"/>
    </w:rPr>
  </w:style>
  <w:style w:type="character" w:customStyle="1" w:styleId="CommentTextChar">
    <w:name w:val="Comment Text Char"/>
    <w:basedOn w:val="DefaultParagraphFont"/>
    <w:link w:val="CommentText"/>
    <w:uiPriority w:val="99"/>
    <w:semiHidden/>
    <w:rsid w:val="00B3137D"/>
    <w:rPr>
      <w:sz w:val="20"/>
      <w:szCs w:val="20"/>
    </w:rPr>
  </w:style>
  <w:style w:type="paragraph" w:styleId="CommentSubject">
    <w:name w:val="annotation subject"/>
    <w:basedOn w:val="CommentText"/>
    <w:next w:val="CommentText"/>
    <w:link w:val="CommentSubjectChar"/>
    <w:uiPriority w:val="99"/>
    <w:semiHidden/>
    <w:unhideWhenUsed/>
    <w:rsid w:val="00B3137D"/>
    <w:rPr>
      <w:b/>
      <w:bCs/>
    </w:rPr>
  </w:style>
  <w:style w:type="character" w:customStyle="1" w:styleId="CommentSubjectChar">
    <w:name w:val="Comment Subject Char"/>
    <w:basedOn w:val="CommentTextChar"/>
    <w:link w:val="CommentSubject"/>
    <w:uiPriority w:val="99"/>
    <w:semiHidden/>
    <w:rsid w:val="00B3137D"/>
    <w:rPr>
      <w:b/>
      <w:bCs/>
      <w:sz w:val="20"/>
      <w:szCs w:val="20"/>
    </w:rPr>
  </w:style>
  <w:style w:type="paragraph" w:styleId="BalloonText">
    <w:name w:val="Balloon Text"/>
    <w:basedOn w:val="Normal"/>
    <w:link w:val="BalloonTextChar"/>
    <w:uiPriority w:val="99"/>
    <w:semiHidden/>
    <w:unhideWhenUsed/>
    <w:rsid w:val="00B3137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37D"/>
    <w:rPr>
      <w:rFonts w:ascii="Segoe UI" w:hAnsi="Segoe UI" w:cs="Segoe UI"/>
      <w:sz w:val="18"/>
      <w:szCs w:val="18"/>
    </w:rPr>
  </w:style>
  <w:style w:type="table" w:styleId="TableGrid">
    <w:name w:val="Table Grid"/>
    <w:basedOn w:val="TableNormal"/>
    <w:uiPriority w:val="39"/>
    <w:rsid w:val="000E1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E104A"/>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D305B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FootnoteTextChar1">
    <w:name w:val="Footnote Text Char1"/>
    <w:aliases w:val="PBO-Footnote Text Char1,ftx Char1,Schriftart: 9 pt Char1,Schriftart: 10 pt Char1,Schriftart: 8 pt Char1,Voetnoottekst Char Char1,Footnote Text Char1 Char Char1,Footnote Text Char Char Char Char1,ftx Ch Char,Char Char1 Char"/>
    <w:basedOn w:val="DefaultParagraphFont"/>
    <w:uiPriority w:val="99"/>
    <w:semiHidden/>
    <w:locked/>
    <w:rsid w:val="00E17F97"/>
    <w:rPr>
      <w:rFonts w:ascii="Times New Roman" w:hAnsi="Times New Roman" w:cs="Times New Roman"/>
      <w:sz w:val="20"/>
      <w:szCs w:val="20"/>
    </w:rPr>
  </w:style>
  <w:style w:type="paragraph" w:customStyle="1" w:styleId="ti-section-1">
    <w:name w:val="ti-section-1"/>
    <w:basedOn w:val="Normal"/>
    <w:rsid w:val="00471C6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italic">
    <w:name w:val="italic"/>
    <w:basedOn w:val="DefaultParagraphFont"/>
    <w:rsid w:val="00471C6F"/>
  </w:style>
  <w:style w:type="paragraph" w:customStyle="1" w:styleId="ti-section-2">
    <w:name w:val="ti-section-2"/>
    <w:basedOn w:val="Normal"/>
    <w:rsid w:val="00471C6F"/>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6498B"/>
    <w:rPr>
      <w:b/>
      <w:bCs/>
    </w:rPr>
  </w:style>
  <w:style w:type="character" w:styleId="UnresolvedMention">
    <w:name w:val="Unresolved Mention"/>
    <w:basedOn w:val="DefaultParagraphFont"/>
    <w:uiPriority w:val="99"/>
    <w:semiHidden/>
    <w:unhideWhenUsed/>
    <w:rsid w:val="001C3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41866">
      <w:bodyDiv w:val="1"/>
      <w:marLeft w:val="0"/>
      <w:marRight w:val="0"/>
      <w:marTop w:val="0"/>
      <w:marBottom w:val="0"/>
      <w:divBdr>
        <w:top w:val="none" w:sz="0" w:space="0" w:color="auto"/>
        <w:left w:val="none" w:sz="0" w:space="0" w:color="auto"/>
        <w:bottom w:val="none" w:sz="0" w:space="0" w:color="auto"/>
        <w:right w:val="none" w:sz="0" w:space="0" w:color="auto"/>
      </w:divBdr>
    </w:div>
    <w:div w:id="126244757">
      <w:bodyDiv w:val="1"/>
      <w:marLeft w:val="0"/>
      <w:marRight w:val="0"/>
      <w:marTop w:val="0"/>
      <w:marBottom w:val="0"/>
      <w:divBdr>
        <w:top w:val="none" w:sz="0" w:space="0" w:color="auto"/>
        <w:left w:val="none" w:sz="0" w:space="0" w:color="auto"/>
        <w:bottom w:val="none" w:sz="0" w:space="0" w:color="auto"/>
        <w:right w:val="none" w:sz="0" w:space="0" w:color="auto"/>
      </w:divBdr>
    </w:div>
    <w:div w:id="159274033">
      <w:bodyDiv w:val="1"/>
      <w:marLeft w:val="0"/>
      <w:marRight w:val="0"/>
      <w:marTop w:val="0"/>
      <w:marBottom w:val="0"/>
      <w:divBdr>
        <w:top w:val="none" w:sz="0" w:space="0" w:color="auto"/>
        <w:left w:val="none" w:sz="0" w:space="0" w:color="auto"/>
        <w:bottom w:val="none" w:sz="0" w:space="0" w:color="auto"/>
        <w:right w:val="none" w:sz="0" w:space="0" w:color="auto"/>
      </w:divBdr>
    </w:div>
    <w:div w:id="218708393">
      <w:bodyDiv w:val="1"/>
      <w:marLeft w:val="0"/>
      <w:marRight w:val="0"/>
      <w:marTop w:val="0"/>
      <w:marBottom w:val="0"/>
      <w:divBdr>
        <w:top w:val="none" w:sz="0" w:space="0" w:color="auto"/>
        <w:left w:val="none" w:sz="0" w:space="0" w:color="auto"/>
        <w:bottom w:val="none" w:sz="0" w:space="0" w:color="auto"/>
        <w:right w:val="none" w:sz="0" w:space="0" w:color="auto"/>
      </w:divBdr>
    </w:div>
    <w:div w:id="270863968">
      <w:bodyDiv w:val="1"/>
      <w:marLeft w:val="0"/>
      <w:marRight w:val="0"/>
      <w:marTop w:val="0"/>
      <w:marBottom w:val="0"/>
      <w:divBdr>
        <w:top w:val="none" w:sz="0" w:space="0" w:color="auto"/>
        <w:left w:val="none" w:sz="0" w:space="0" w:color="auto"/>
        <w:bottom w:val="none" w:sz="0" w:space="0" w:color="auto"/>
        <w:right w:val="none" w:sz="0" w:space="0" w:color="auto"/>
      </w:divBdr>
      <w:divsChild>
        <w:div w:id="1079982134">
          <w:marLeft w:val="0"/>
          <w:marRight w:val="0"/>
          <w:marTop w:val="0"/>
          <w:marBottom w:val="0"/>
          <w:divBdr>
            <w:top w:val="none" w:sz="0" w:space="0" w:color="auto"/>
            <w:left w:val="none" w:sz="0" w:space="0" w:color="auto"/>
            <w:bottom w:val="none" w:sz="0" w:space="0" w:color="auto"/>
            <w:right w:val="none" w:sz="0" w:space="0" w:color="auto"/>
          </w:divBdr>
          <w:divsChild>
            <w:div w:id="701058012">
              <w:marLeft w:val="0"/>
              <w:marRight w:val="0"/>
              <w:marTop w:val="0"/>
              <w:marBottom w:val="0"/>
              <w:divBdr>
                <w:top w:val="none" w:sz="0" w:space="0" w:color="auto"/>
                <w:left w:val="none" w:sz="0" w:space="0" w:color="auto"/>
                <w:bottom w:val="none" w:sz="0" w:space="0" w:color="auto"/>
                <w:right w:val="none" w:sz="0" w:space="0" w:color="auto"/>
              </w:divBdr>
              <w:divsChild>
                <w:div w:id="2037922854">
                  <w:marLeft w:val="0"/>
                  <w:marRight w:val="0"/>
                  <w:marTop w:val="0"/>
                  <w:marBottom w:val="0"/>
                  <w:divBdr>
                    <w:top w:val="none" w:sz="0" w:space="0" w:color="auto"/>
                    <w:left w:val="none" w:sz="0" w:space="0" w:color="auto"/>
                    <w:bottom w:val="none" w:sz="0" w:space="0" w:color="auto"/>
                    <w:right w:val="none" w:sz="0" w:space="0" w:color="auto"/>
                  </w:divBdr>
                </w:div>
              </w:divsChild>
            </w:div>
            <w:div w:id="899292103">
              <w:marLeft w:val="0"/>
              <w:marRight w:val="0"/>
              <w:marTop w:val="0"/>
              <w:marBottom w:val="0"/>
              <w:divBdr>
                <w:top w:val="none" w:sz="0" w:space="0" w:color="auto"/>
                <w:left w:val="none" w:sz="0" w:space="0" w:color="auto"/>
                <w:bottom w:val="none" w:sz="0" w:space="0" w:color="auto"/>
                <w:right w:val="none" w:sz="0" w:space="0" w:color="auto"/>
              </w:divBdr>
              <w:divsChild>
                <w:div w:id="45980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77237">
          <w:marLeft w:val="0"/>
          <w:marRight w:val="0"/>
          <w:marTop w:val="0"/>
          <w:marBottom w:val="0"/>
          <w:divBdr>
            <w:top w:val="none" w:sz="0" w:space="0" w:color="auto"/>
            <w:left w:val="none" w:sz="0" w:space="0" w:color="auto"/>
            <w:bottom w:val="none" w:sz="0" w:space="0" w:color="auto"/>
            <w:right w:val="none" w:sz="0" w:space="0" w:color="auto"/>
          </w:divBdr>
          <w:divsChild>
            <w:div w:id="1653867119">
              <w:marLeft w:val="0"/>
              <w:marRight w:val="0"/>
              <w:marTop w:val="0"/>
              <w:marBottom w:val="0"/>
              <w:divBdr>
                <w:top w:val="none" w:sz="0" w:space="0" w:color="auto"/>
                <w:left w:val="none" w:sz="0" w:space="0" w:color="auto"/>
                <w:bottom w:val="none" w:sz="0" w:space="0" w:color="auto"/>
                <w:right w:val="none" w:sz="0" w:space="0" w:color="auto"/>
              </w:divBdr>
              <w:divsChild>
                <w:div w:id="731195290">
                  <w:marLeft w:val="0"/>
                  <w:marRight w:val="0"/>
                  <w:marTop w:val="0"/>
                  <w:marBottom w:val="0"/>
                  <w:divBdr>
                    <w:top w:val="none" w:sz="0" w:space="0" w:color="auto"/>
                    <w:left w:val="none" w:sz="0" w:space="0" w:color="auto"/>
                    <w:bottom w:val="none" w:sz="0" w:space="0" w:color="auto"/>
                    <w:right w:val="none" w:sz="0" w:space="0" w:color="auto"/>
                  </w:divBdr>
                </w:div>
              </w:divsChild>
            </w:div>
            <w:div w:id="1759910221">
              <w:marLeft w:val="0"/>
              <w:marRight w:val="0"/>
              <w:marTop w:val="0"/>
              <w:marBottom w:val="0"/>
              <w:divBdr>
                <w:top w:val="none" w:sz="0" w:space="0" w:color="auto"/>
                <w:left w:val="none" w:sz="0" w:space="0" w:color="auto"/>
                <w:bottom w:val="none" w:sz="0" w:space="0" w:color="auto"/>
                <w:right w:val="none" w:sz="0" w:space="0" w:color="auto"/>
              </w:divBdr>
              <w:divsChild>
                <w:div w:id="75813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5923">
      <w:bodyDiv w:val="1"/>
      <w:marLeft w:val="0"/>
      <w:marRight w:val="0"/>
      <w:marTop w:val="0"/>
      <w:marBottom w:val="0"/>
      <w:divBdr>
        <w:top w:val="none" w:sz="0" w:space="0" w:color="auto"/>
        <w:left w:val="none" w:sz="0" w:space="0" w:color="auto"/>
        <w:bottom w:val="none" w:sz="0" w:space="0" w:color="auto"/>
        <w:right w:val="none" w:sz="0" w:space="0" w:color="auto"/>
      </w:divBdr>
    </w:div>
    <w:div w:id="492139110">
      <w:bodyDiv w:val="1"/>
      <w:marLeft w:val="0"/>
      <w:marRight w:val="0"/>
      <w:marTop w:val="0"/>
      <w:marBottom w:val="0"/>
      <w:divBdr>
        <w:top w:val="none" w:sz="0" w:space="0" w:color="auto"/>
        <w:left w:val="none" w:sz="0" w:space="0" w:color="auto"/>
        <w:bottom w:val="none" w:sz="0" w:space="0" w:color="auto"/>
        <w:right w:val="none" w:sz="0" w:space="0" w:color="auto"/>
      </w:divBdr>
    </w:div>
    <w:div w:id="504393987">
      <w:bodyDiv w:val="1"/>
      <w:marLeft w:val="0"/>
      <w:marRight w:val="0"/>
      <w:marTop w:val="0"/>
      <w:marBottom w:val="0"/>
      <w:divBdr>
        <w:top w:val="none" w:sz="0" w:space="0" w:color="auto"/>
        <w:left w:val="none" w:sz="0" w:space="0" w:color="auto"/>
        <w:bottom w:val="none" w:sz="0" w:space="0" w:color="auto"/>
        <w:right w:val="none" w:sz="0" w:space="0" w:color="auto"/>
      </w:divBdr>
    </w:div>
    <w:div w:id="662126248">
      <w:bodyDiv w:val="1"/>
      <w:marLeft w:val="0"/>
      <w:marRight w:val="0"/>
      <w:marTop w:val="0"/>
      <w:marBottom w:val="0"/>
      <w:divBdr>
        <w:top w:val="none" w:sz="0" w:space="0" w:color="auto"/>
        <w:left w:val="none" w:sz="0" w:space="0" w:color="auto"/>
        <w:bottom w:val="none" w:sz="0" w:space="0" w:color="auto"/>
        <w:right w:val="none" w:sz="0" w:space="0" w:color="auto"/>
      </w:divBdr>
    </w:div>
    <w:div w:id="679313289">
      <w:bodyDiv w:val="1"/>
      <w:marLeft w:val="0"/>
      <w:marRight w:val="0"/>
      <w:marTop w:val="0"/>
      <w:marBottom w:val="0"/>
      <w:divBdr>
        <w:top w:val="none" w:sz="0" w:space="0" w:color="auto"/>
        <w:left w:val="none" w:sz="0" w:space="0" w:color="auto"/>
        <w:bottom w:val="none" w:sz="0" w:space="0" w:color="auto"/>
        <w:right w:val="none" w:sz="0" w:space="0" w:color="auto"/>
      </w:divBdr>
    </w:div>
    <w:div w:id="867334956">
      <w:bodyDiv w:val="1"/>
      <w:marLeft w:val="0"/>
      <w:marRight w:val="0"/>
      <w:marTop w:val="0"/>
      <w:marBottom w:val="0"/>
      <w:divBdr>
        <w:top w:val="none" w:sz="0" w:space="0" w:color="auto"/>
        <w:left w:val="none" w:sz="0" w:space="0" w:color="auto"/>
        <w:bottom w:val="none" w:sz="0" w:space="0" w:color="auto"/>
        <w:right w:val="none" w:sz="0" w:space="0" w:color="auto"/>
      </w:divBdr>
    </w:div>
    <w:div w:id="924532058">
      <w:bodyDiv w:val="1"/>
      <w:marLeft w:val="0"/>
      <w:marRight w:val="0"/>
      <w:marTop w:val="0"/>
      <w:marBottom w:val="0"/>
      <w:divBdr>
        <w:top w:val="none" w:sz="0" w:space="0" w:color="auto"/>
        <w:left w:val="none" w:sz="0" w:space="0" w:color="auto"/>
        <w:bottom w:val="none" w:sz="0" w:space="0" w:color="auto"/>
        <w:right w:val="none" w:sz="0" w:space="0" w:color="auto"/>
      </w:divBdr>
    </w:div>
    <w:div w:id="1066077121">
      <w:bodyDiv w:val="1"/>
      <w:marLeft w:val="0"/>
      <w:marRight w:val="0"/>
      <w:marTop w:val="0"/>
      <w:marBottom w:val="0"/>
      <w:divBdr>
        <w:top w:val="none" w:sz="0" w:space="0" w:color="auto"/>
        <w:left w:val="none" w:sz="0" w:space="0" w:color="auto"/>
        <w:bottom w:val="none" w:sz="0" w:space="0" w:color="auto"/>
        <w:right w:val="none" w:sz="0" w:space="0" w:color="auto"/>
      </w:divBdr>
    </w:div>
    <w:div w:id="1074087675">
      <w:bodyDiv w:val="1"/>
      <w:marLeft w:val="0"/>
      <w:marRight w:val="0"/>
      <w:marTop w:val="0"/>
      <w:marBottom w:val="0"/>
      <w:divBdr>
        <w:top w:val="none" w:sz="0" w:space="0" w:color="auto"/>
        <w:left w:val="none" w:sz="0" w:space="0" w:color="auto"/>
        <w:bottom w:val="none" w:sz="0" w:space="0" w:color="auto"/>
        <w:right w:val="none" w:sz="0" w:space="0" w:color="auto"/>
      </w:divBdr>
      <w:divsChild>
        <w:div w:id="1686783136">
          <w:marLeft w:val="0"/>
          <w:marRight w:val="0"/>
          <w:marTop w:val="240"/>
          <w:marBottom w:val="30"/>
          <w:divBdr>
            <w:top w:val="none" w:sz="0" w:space="0" w:color="auto"/>
            <w:left w:val="none" w:sz="0" w:space="0" w:color="auto"/>
            <w:bottom w:val="none" w:sz="0" w:space="0" w:color="auto"/>
            <w:right w:val="none" w:sz="0" w:space="0" w:color="auto"/>
          </w:divBdr>
        </w:div>
      </w:divsChild>
    </w:div>
    <w:div w:id="1189755661">
      <w:bodyDiv w:val="1"/>
      <w:marLeft w:val="0"/>
      <w:marRight w:val="0"/>
      <w:marTop w:val="0"/>
      <w:marBottom w:val="0"/>
      <w:divBdr>
        <w:top w:val="none" w:sz="0" w:space="0" w:color="auto"/>
        <w:left w:val="none" w:sz="0" w:space="0" w:color="auto"/>
        <w:bottom w:val="none" w:sz="0" w:space="0" w:color="auto"/>
        <w:right w:val="none" w:sz="0" w:space="0" w:color="auto"/>
      </w:divBdr>
    </w:div>
    <w:div w:id="1206529336">
      <w:bodyDiv w:val="1"/>
      <w:marLeft w:val="0"/>
      <w:marRight w:val="0"/>
      <w:marTop w:val="0"/>
      <w:marBottom w:val="0"/>
      <w:divBdr>
        <w:top w:val="none" w:sz="0" w:space="0" w:color="auto"/>
        <w:left w:val="none" w:sz="0" w:space="0" w:color="auto"/>
        <w:bottom w:val="none" w:sz="0" w:space="0" w:color="auto"/>
        <w:right w:val="none" w:sz="0" w:space="0" w:color="auto"/>
      </w:divBdr>
    </w:div>
    <w:div w:id="1229269149">
      <w:bodyDiv w:val="1"/>
      <w:marLeft w:val="0"/>
      <w:marRight w:val="0"/>
      <w:marTop w:val="0"/>
      <w:marBottom w:val="0"/>
      <w:divBdr>
        <w:top w:val="none" w:sz="0" w:space="0" w:color="auto"/>
        <w:left w:val="none" w:sz="0" w:space="0" w:color="auto"/>
        <w:bottom w:val="none" w:sz="0" w:space="0" w:color="auto"/>
        <w:right w:val="none" w:sz="0" w:space="0" w:color="auto"/>
      </w:divBdr>
    </w:div>
    <w:div w:id="1621258350">
      <w:bodyDiv w:val="1"/>
      <w:marLeft w:val="0"/>
      <w:marRight w:val="0"/>
      <w:marTop w:val="0"/>
      <w:marBottom w:val="0"/>
      <w:divBdr>
        <w:top w:val="none" w:sz="0" w:space="0" w:color="auto"/>
        <w:left w:val="none" w:sz="0" w:space="0" w:color="auto"/>
        <w:bottom w:val="none" w:sz="0" w:space="0" w:color="auto"/>
        <w:right w:val="none" w:sz="0" w:space="0" w:color="auto"/>
      </w:divBdr>
    </w:div>
    <w:div w:id="1823698464">
      <w:bodyDiv w:val="1"/>
      <w:marLeft w:val="0"/>
      <w:marRight w:val="0"/>
      <w:marTop w:val="0"/>
      <w:marBottom w:val="0"/>
      <w:divBdr>
        <w:top w:val="none" w:sz="0" w:space="0" w:color="auto"/>
        <w:left w:val="none" w:sz="0" w:space="0" w:color="auto"/>
        <w:bottom w:val="none" w:sz="0" w:space="0" w:color="auto"/>
        <w:right w:val="none" w:sz="0" w:space="0" w:color="auto"/>
      </w:divBdr>
      <w:divsChild>
        <w:div w:id="51542773">
          <w:marLeft w:val="0"/>
          <w:marRight w:val="0"/>
          <w:marTop w:val="0"/>
          <w:marBottom w:val="0"/>
          <w:divBdr>
            <w:top w:val="none" w:sz="0" w:space="0" w:color="auto"/>
            <w:left w:val="none" w:sz="0" w:space="0" w:color="auto"/>
            <w:bottom w:val="none" w:sz="0" w:space="0" w:color="auto"/>
            <w:right w:val="none" w:sz="0" w:space="0" w:color="auto"/>
          </w:divBdr>
          <w:divsChild>
            <w:div w:id="1227257984">
              <w:marLeft w:val="0"/>
              <w:marRight w:val="0"/>
              <w:marTop w:val="0"/>
              <w:marBottom w:val="0"/>
              <w:divBdr>
                <w:top w:val="none" w:sz="0" w:space="0" w:color="auto"/>
                <w:left w:val="none" w:sz="0" w:space="0" w:color="auto"/>
                <w:bottom w:val="none" w:sz="0" w:space="0" w:color="auto"/>
                <w:right w:val="none" w:sz="0" w:space="0" w:color="auto"/>
              </w:divBdr>
              <w:divsChild>
                <w:div w:id="111091829">
                  <w:marLeft w:val="0"/>
                  <w:marRight w:val="0"/>
                  <w:marTop w:val="0"/>
                  <w:marBottom w:val="0"/>
                  <w:divBdr>
                    <w:top w:val="none" w:sz="0" w:space="0" w:color="auto"/>
                    <w:left w:val="none" w:sz="0" w:space="0" w:color="auto"/>
                    <w:bottom w:val="none" w:sz="0" w:space="0" w:color="auto"/>
                    <w:right w:val="none" w:sz="0" w:space="0" w:color="auto"/>
                  </w:divBdr>
                  <w:divsChild>
                    <w:div w:id="2053537000">
                      <w:marLeft w:val="0"/>
                      <w:marRight w:val="0"/>
                      <w:marTop w:val="0"/>
                      <w:marBottom w:val="0"/>
                      <w:divBdr>
                        <w:top w:val="none" w:sz="0" w:space="0" w:color="auto"/>
                        <w:left w:val="none" w:sz="0" w:space="0" w:color="auto"/>
                        <w:bottom w:val="none" w:sz="0" w:space="0" w:color="auto"/>
                        <w:right w:val="none" w:sz="0" w:space="0" w:color="auto"/>
                      </w:divBdr>
                      <w:divsChild>
                        <w:div w:id="1145514787">
                          <w:marLeft w:val="0"/>
                          <w:marRight w:val="300"/>
                          <w:marTop w:val="180"/>
                          <w:marBottom w:val="0"/>
                          <w:divBdr>
                            <w:top w:val="none" w:sz="0" w:space="0" w:color="auto"/>
                            <w:left w:val="none" w:sz="0" w:space="0" w:color="auto"/>
                            <w:bottom w:val="none" w:sz="0" w:space="0" w:color="auto"/>
                            <w:right w:val="none" w:sz="0" w:space="0" w:color="auto"/>
                          </w:divBdr>
                          <w:divsChild>
                            <w:div w:id="135503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547103">
          <w:marLeft w:val="0"/>
          <w:marRight w:val="0"/>
          <w:marTop w:val="0"/>
          <w:marBottom w:val="0"/>
          <w:divBdr>
            <w:top w:val="none" w:sz="0" w:space="0" w:color="auto"/>
            <w:left w:val="none" w:sz="0" w:space="0" w:color="auto"/>
            <w:bottom w:val="none" w:sz="0" w:space="0" w:color="auto"/>
            <w:right w:val="none" w:sz="0" w:space="0" w:color="auto"/>
          </w:divBdr>
          <w:divsChild>
            <w:div w:id="938098308">
              <w:marLeft w:val="0"/>
              <w:marRight w:val="0"/>
              <w:marTop w:val="0"/>
              <w:marBottom w:val="0"/>
              <w:divBdr>
                <w:top w:val="none" w:sz="0" w:space="0" w:color="auto"/>
                <w:left w:val="none" w:sz="0" w:space="0" w:color="auto"/>
                <w:bottom w:val="none" w:sz="0" w:space="0" w:color="auto"/>
                <w:right w:val="none" w:sz="0" w:space="0" w:color="auto"/>
              </w:divBdr>
              <w:divsChild>
                <w:div w:id="880942237">
                  <w:marLeft w:val="0"/>
                  <w:marRight w:val="0"/>
                  <w:marTop w:val="0"/>
                  <w:marBottom w:val="0"/>
                  <w:divBdr>
                    <w:top w:val="none" w:sz="0" w:space="0" w:color="auto"/>
                    <w:left w:val="none" w:sz="0" w:space="0" w:color="auto"/>
                    <w:bottom w:val="none" w:sz="0" w:space="0" w:color="auto"/>
                    <w:right w:val="none" w:sz="0" w:space="0" w:color="auto"/>
                  </w:divBdr>
                  <w:divsChild>
                    <w:div w:id="74372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autoriteprotectiondonnees.be/lautorite-lance-debut-2020-son-projet-boost-pour-les-pme" TargetMode="External"/><Relationship Id="rId3" Type="http://schemas.openxmlformats.org/officeDocument/2006/relationships/hyperlink" Target="mailto:david.barnard-wills@trilateralresearch.com" TargetMode="External"/><Relationship Id="rId7" Type="http://schemas.openxmlformats.org/officeDocument/2006/relationships/hyperlink" Target="https://smeunited.eu/news/gdpr-application-discussed-mandatory-monitoring-body-not-fit-for-smes" TargetMode="External"/><Relationship Id="rId2" Type="http://schemas.openxmlformats.org/officeDocument/2006/relationships/hyperlink" Target="mailto:lina.jasmontaite@vub.be" TargetMode="External"/><Relationship Id="rId1" Type="http://schemas.openxmlformats.org/officeDocument/2006/relationships/hyperlink" Target="mailto:leanne.cochrane@trilateralresearch.com" TargetMode="External"/><Relationship Id="rId6" Type="http://schemas.openxmlformats.org/officeDocument/2006/relationships/hyperlink" Target="https://ico.org.uk/for-organisations/in-your-sector/business/" TargetMode="External"/><Relationship Id="rId5" Type="http://schemas.openxmlformats.org/officeDocument/2006/relationships/hyperlink" Target="https://privacylawblog.fieldfisher.com/2019/videosurveillance-cnil-issues-fine-of-20-000-euros-against-a-small-company-in-france" TargetMode="External"/><Relationship Id="rId10" Type="http://schemas.openxmlformats.org/officeDocument/2006/relationships/hyperlink" Target="https://smoothplatform.eu/" TargetMode="External"/><Relationship Id="rId4" Type="http://schemas.openxmlformats.org/officeDocument/2006/relationships/hyperlink" Target="https://www.insideprivacy.com/data-privacy/belgian-supervisory-authority-imposes-website-cookie-fine/" TargetMode="External"/><Relationship Id="rId9" Type="http://schemas.openxmlformats.org/officeDocument/2006/relationships/hyperlink" Target="https://smedat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634F62922B0646996A4F73645A5502" ma:contentTypeVersion="12" ma:contentTypeDescription="Create a new document." ma:contentTypeScope="" ma:versionID="40904de11c63c7ebc8d870834602d665">
  <xsd:schema xmlns:xsd="http://www.w3.org/2001/XMLSchema" xmlns:xs="http://www.w3.org/2001/XMLSchema" xmlns:p="http://schemas.microsoft.com/office/2006/metadata/properties" xmlns:ns2="80a2374f-cfb1-42bb-a805-ba77cb893584" xmlns:ns3="3d0ada35-a3a2-461c-b30f-d5888d57232a" targetNamespace="http://schemas.microsoft.com/office/2006/metadata/properties" ma:root="true" ma:fieldsID="8ab8f700d998115c8ae8ae867268b19f" ns2:_="" ns3:_="">
    <xsd:import namespace="80a2374f-cfb1-42bb-a805-ba77cb893584"/>
    <xsd:import namespace="3d0ada35-a3a2-461c-b30f-d5888d5723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2374f-cfb1-42bb-a805-ba77cb893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0ada35-a3a2-461c-b30f-d5888d57232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8D161-5E63-4CB1-B405-4FDA252D2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2374f-cfb1-42bb-a805-ba77cb893584"/>
    <ds:schemaRef ds:uri="3d0ada35-a3a2-461c-b30f-d5888d572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A2834C-BAAA-4023-91DA-4177A0793C7F}">
  <ds:schemaRefs>
    <ds:schemaRef ds:uri="http://schemas.microsoft.com/sharepoint/v3/contenttype/forms"/>
  </ds:schemaRefs>
</ds:datastoreItem>
</file>

<file path=customXml/itemProps3.xml><?xml version="1.0" encoding="utf-8"?>
<ds:datastoreItem xmlns:ds="http://schemas.openxmlformats.org/officeDocument/2006/customXml" ds:itemID="{0A291110-D702-42D9-BADB-D221018691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59C7C6-6DAD-4FAD-AFB2-452A18438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16</Pages>
  <Words>7032</Words>
  <Characters>40083</Characters>
  <Application>Microsoft Office Word</Application>
  <DocSecurity>0</DocSecurity>
  <Lines>334</Lines>
  <Paragraphs>94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JASMONTAITE</dc:creator>
  <cp:keywords/>
  <dc:description/>
  <cp:lastModifiedBy>Lina JASMONTAITE</cp:lastModifiedBy>
  <cp:revision>7</cp:revision>
  <cp:lastPrinted>2020-02-03T12:25:00Z</cp:lastPrinted>
  <dcterms:created xsi:type="dcterms:W3CDTF">2020-03-31T14:45:00Z</dcterms:created>
  <dcterms:modified xsi:type="dcterms:W3CDTF">2020-04-02T18:35:00Z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0x010100D2634F62922B0646996A4F73645A5502</vt:lpwstr>
  </property>
  <property fmtid="{D5CDD505-2E9C-101B-9397-08002B2CF9AE}" pid="3" name="Mendeley Document_1">
    <vt:lpwstr>True</vt:lpwstr>
  </property>
  <property fmtid="{D5CDD505-2E9C-101B-9397-08002B2CF9AE}" pid="4" name="Mendeley Unique User Id_1">
    <vt:lpwstr>c488dc82-5ed8-3aee-bd35-5def2e6e1a83</vt:lpwstr>
  </property>
  <property fmtid="{D5CDD505-2E9C-101B-9397-08002B2CF9AE}" pid="5" name="Mendeley Citation Style_1">
    <vt:lpwstr>http://www.zotero.org/styles/oscola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http://www.zotero.org/styles/oscola</vt:lpwstr>
  </property>
  <property fmtid="{D5CDD505-2E9C-101B-9397-08002B2CF9AE}" pid="25" name="Mendeley Recent Style Name 9_1">
    <vt:lpwstr>OSCOLA (Oxford University Standard for Citation of Legal Authorities)</vt:lpwstr>
  </property>
</Properties>
</file>